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63581" w14:textId="77777777" w:rsidR="00396EBC" w:rsidRPr="00396EBC" w:rsidRDefault="00396EBC" w:rsidP="00396EBC">
      <w:pPr>
        <w:spacing w:after="1"/>
        <w:ind w:left="2160" w:firstLine="720"/>
        <w:rPr>
          <w:rFonts w:ascii="Noto Serif" w:eastAsia="Noto Serif" w:hAnsi="Noto Serif" w:cs="Noto Serif"/>
          <w:color w:val="434343"/>
          <w:sz w:val="24"/>
          <w:szCs w:val="24"/>
        </w:rPr>
      </w:pPr>
      <w:bookmarkStart w:id="0" w:name="_2zci78acf5rc" w:colFirst="0" w:colLast="0"/>
      <w:bookmarkEnd w:id="0"/>
      <w:r w:rsidRPr="00396EBC">
        <w:rPr>
          <w:rFonts w:ascii="Noto Serif" w:eastAsia="Noto Serif" w:hAnsi="Noto Serif" w:cs="Noto Serif"/>
          <w:color w:val="434343"/>
          <w:sz w:val="24"/>
          <w:szCs w:val="24"/>
        </w:rPr>
        <w:t xml:space="preserve">Oak Brook Counseling &amp; Wellness </w:t>
      </w:r>
    </w:p>
    <w:p w14:paraId="0A5F55C8" w14:textId="77777777" w:rsidR="00396EBC" w:rsidRPr="00396EBC" w:rsidRDefault="00396EBC" w:rsidP="00396EBC">
      <w:pPr>
        <w:spacing w:after="1"/>
        <w:ind w:left="2875" w:firstLine="5"/>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1010 Jorie Blvd. Suite 112, Oak Brook IL 60523 </w:t>
      </w:r>
    </w:p>
    <w:p w14:paraId="066A8AD0" w14:textId="77777777" w:rsidR="00396EBC" w:rsidRPr="00396EBC" w:rsidRDefault="00396EBC" w:rsidP="00396EBC">
      <w:pPr>
        <w:ind w:left="2155" w:firstLine="725"/>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630-710-5729 ~ oakbrookwellness.com </w:t>
      </w:r>
    </w:p>
    <w:p w14:paraId="405C0708" w14:textId="77777777" w:rsidR="00396EBC" w:rsidRPr="00396EBC" w:rsidRDefault="00396EBC" w:rsidP="00396EBC">
      <w:pPr>
        <w:keepNext/>
        <w:keepLines/>
        <w:spacing w:after="60"/>
        <w:contextualSpacing w:val="0"/>
        <w:jc w:val="center"/>
        <w:rPr>
          <w:rFonts w:ascii="Montserrat" w:eastAsia="Montserrat" w:hAnsi="Montserrat" w:cs="Montserrat"/>
          <w:color w:val="8FC855"/>
          <w:sz w:val="44"/>
          <w:szCs w:val="44"/>
        </w:rPr>
      </w:pPr>
      <w:proofErr w:type="spellStart"/>
      <w:r w:rsidRPr="00396EBC">
        <w:rPr>
          <w:rFonts w:ascii="Montserrat" w:eastAsia="Montserrat" w:hAnsi="Montserrat" w:cs="Montserrat"/>
          <w:color w:val="8FC855"/>
          <w:sz w:val="44"/>
          <w:szCs w:val="44"/>
        </w:rPr>
        <w:t>Telemental</w:t>
      </w:r>
      <w:proofErr w:type="spellEnd"/>
      <w:r w:rsidRPr="00396EBC">
        <w:rPr>
          <w:rFonts w:ascii="Montserrat" w:eastAsia="Montserrat" w:hAnsi="Montserrat" w:cs="Montserrat"/>
          <w:color w:val="8FC855"/>
          <w:sz w:val="44"/>
          <w:szCs w:val="44"/>
        </w:rPr>
        <w:t xml:space="preserve"> Health Services Informed Consent</w:t>
      </w:r>
    </w:p>
    <w:p w14:paraId="2586A3F6" w14:textId="77777777" w:rsidR="00396EBC" w:rsidRPr="00396EBC" w:rsidRDefault="00396EBC" w:rsidP="00396EBC">
      <w:pPr>
        <w:keepNext/>
        <w:keepLines/>
        <w:spacing w:before="320" w:after="80"/>
        <w:contextualSpacing w:val="0"/>
        <w:outlineLvl w:val="2"/>
        <w:rPr>
          <w:rFonts w:ascii="Montserrat" w:eastAsia="Montserrat" w:hAnsi="Montserrat" w:cs="Montserrat"/>
          <w:b/>
          <w:color w:val="8FC855"/>
          <w:sz w:val="32"/>
          <w:szCs w:val="32"/>
        </w:rPr>
      </w:pPr>
      <w:bookmarkStart w:id="1" w:name="_234bgcqbrr86" w:colFirst="0" w:colLast="0"/>
      <w:bookmarkEnd w:id="1"/>
      <w:r w:rsidRPr="00396EBC">
        <w:rPr>
          <w:rFonts w:ascii="Montserrat" w:eastAsia="Montserrat" w:hAnsi="Montserrat" w:cs="Montserrat"/>
          <w:b/>
          <w:color w:val="8FC855"/>
          <w:sz w:val="32"/>
          <w:szCs w:val="32"/>
        </w:rPr>
        <w:t>Overview</w:t>
      </w:r>
    </w:p>
    <w:p w14:paraId="394CD6FB" w14:textId="77777777" w:rsidR="00396EBC" w:rsidRPr="00396EBC" w:rsidRDefault="00396EBC" w:rsidP="00396EBC">
      <w:pPr>
        <w:contextualSpacing w:val="0"/>
        <w:rPr>
          <w:rFonts w:ascii="Noto Serif" w:eastAsia="Noto Serif" w:hAnsi="Noto Serif" w:cs="Noto Serif"/>
          <w:i/>
          <w:color w:val="3D85C6"/>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6EBC" w:rsidRPr="00396EBC" w14:paraId="585F7B61" w14:textId="77777777" w:rsidTr="008B4D2B">
        <w:tc>
          <w:tcPr>
            <w:tcW w:w="9360" w:type="dxa"/>
            <w:shd w:val="clear" w:color="auto" w:fill="auto"/>
            <w:tcMar>
              <w:top w:w="100" w:type="dxa"/>
              <w:left w:w="100" w:type="dxa"/>
              <w:bottom w:w="100" w:type="dxa"/>
              <w:right w:w="100" w:type="dxa"/>
            </w:tcMar>
          </w:tcPr>
          <w:p w14:paraId="53E02104" w14:textId="77777777" w:rsidR="00396EBC" w:rsidRPr="00396EBC" w:rsidRDefault="00396EBC" w:rsidP="00396EBC">
            <w:pPr>
              <w:numPr>
                <w:ilvl w:val="0"/>
                <w:numId w:val="1"/>
              </w:numPr>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You will need access to the certain technological services and tools to engage in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health-based services with your provider</w:t>
            </w:r>
          </w:p>
        </w:tc>
      </w:tr>
      <w:tr w:rsidR="00396EBC" w:rsidRPr="00396EBC" w14:paraId="2E554E95" w14:textId="77777777" w:rsidTr="008B4D2B">
        <w:tc>
          <w:tcPr>
            <w:tcW w:w="9360" w:type="dxa"/>
            <w:shd w:val="clear" w:color="auto" w:fill="auto"/>
            <w:tcMar>
              <w:top w:w="100" w:type="dxa"/>
              <w:left w:w="100" w:type="dxa"/>
              <w:bottom w:w="100" w:type="dxa"/>
              <w:right w:w="100" w:type="dxa"/>
            </w:tcMar>
          </w:tcPr>
          <w:p w14:paraId="620D2BC7" w14:textId="77777777" w:rsidR="00396EBC" w:rsidRPr="00396EBC" w:rsidRDefault="00396EBC" w:rsidP="00396EBC">
            <w:pPr>
              <w:numPr>
                <w:ilvl w:val="0"/>
                <w:numId w:val="1"/>
              </w:numPr>
              <w:spacing w:line="240" w:lineRule="auto"/>
              <w:rPr>
                <w:rFonts w:ascii="Noto Serif" w:eastAsia="Noto Serif" w:hAnsi="Noto Serif" w:cs="Noto Serif"/>
                <w:color w:val="434343"/>
                <w:sz w:val="24"/>
                <w:szCs w:val="24"/>
              </w:rPr>
            </w:pP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has both benefits and risks, which you and your provider will be monitoring as you proceed with your work</w:t>
            </w:r>
          </w:p>
        </w:tc>
      </w:tr>
      <w:tr w:rsidR="00396EBC" w:rsidRPr="00396EBC" w14:paraId="3849AB8A" w14:textId="77777777" w:rsidTr="008B4D2B">
        <w:tc>
          <w:tcPr>
            <w:tcW w:w="9360" w:type="dxa"/>
            <w:shd w:val="clear" w:color="auto" w:fill="auto"/>
            <w:tcMar>
              <w:top w:w="100" w:type="dxa"/>
              <w:left w:w="100" w:type="dxa"/>
              <w:bottom w:w="100" w:type="dxa"/>
              <w:right w:w="100" w:type="dxa"/>
            </w:tcMar>
          </w:tcPr>
          <w:p w14:paraId="19B46314" w14:textId="77777777" w:rsidR="00396EBC" w:rsidRPr="00396EBC" w:rsidRDefault="00396EBC" w:rsidP="00396EBC">
            <w:pPr>
              <w:numPr>
                <w:ilvl w:val="0"/>
                <w:numId w:val="1"/>
              </w:numPr>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It is possible that receiving services by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will turn out to be inappropriate for you, and that you and your provider may have to cease work by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w:t>
            </w:r>
          </w:p>
        </w:tc>
      </w:tr>
      <w:tr w:rsidR="00396EBC" w:rsidRPr="00396EBC" w14:paraId="1B58066F" w14:textId="77777777" w:rsidTr="008B4D2B">
        <w:tc>
          <w:tcPr>
            <w:tcW w:w="9360" w:type="dxa"/>
            <w:shd w:val="clear" w:color="auto" w:fill="auto"/>
            <w:tcMar>
              <w:top w:w="100" w:type="dxa"/>
              <w:left w:w="100" w:type="dxa"/>
              <w:bottom w:w="100" w:type="dxa"/>
              <w:right w:w="100" w:type="dxa"/>
            </w:tcMar>
          </w:tcPr>
          <w:p w14:paraId="7D46AC97" w14:textId="77777777" w:rsidR="00396EBC" w:rsidRPr="00396EBC" w:rsidRDefault="00396EBC" w:rsidP="00396EBC">
            <w:pPr>
              <w:numPr>
                <w:ilvl w:val="0"/>
                <w:numId w:val="1"/>
              </w:numPr>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You can stop work by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at any time without prejudice</w:t>
            </w:r>
          </w:p>
        </w:tc>
      </w:tr>
      <w:tr w:rsidR="00396EBC" w:rsidRPr="00396EBC" w14:paraId="3D9A658B" w14:textId="77777777" w:rsidTr="008B4D2B">
        <w:tc>
          <w:tcPr>
            <w:tcW w:w="9360" w:type="dxa"/>
            <w:shd w:val="clear" w:color="auto" w:fill="auto"/>
            <w:tcMar>
              <w:top w:w="100" w:type="dxa"/>
              <w:left w:w="100" w:type="dxa"/>
              <w:bottom w:w="100" w:type="dxa"/>
              <w:right w:w="100" w:type="dxa"/>
            </w:tcMar>
          </w:tcPr>
          <w:p w14:paraId="1AFB8141" w14:textId="77777777" w:rsidR="00396EBC" w:rsidRPr="00396EBC" w:rsidRDefault="00396EBC" w:rsidP="00396EBC">
            <w:pPr>
              <w:numPr>
                <w:ilvl w:val="0"/>
                <w:numId w:val="1"/>
              </w:numPr>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You will need to participate in creating an appropriate space for your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sessions</w:t>
            </w:r>
          </w:p>
        </w:tc>
      </w:tr>
      <w:tr w:rsidR="00396EBC" w:rsidRPr="00396EBC" w14:paraId="29E34FB6" w14:textId="77777777" w:rsidTr="008B4D2B">
        <w:tc>
          <w:tcPr>
            <w:tcW w:w="9360" w:type="dxa"/>
            <w:shd w:val="clear" w:color="auto" w:fill="auto"/>
            <w:tcMar>
              <w:top w:w="100" w:type="dxa"/>
              <w:left w:w="100" w:type="dxa"/>
              <w:bottom w:w="100" w:type="dxa"/>
              <w:right w:w="100" w:type="dxa"/>
            </w:tcMar>
          </w:tcPr>
          <w:p w14:paraId="6736518C" w14:textId="77777777" w:rsidR="00396EBC" w:rsidRPr="00396EBC" w:rsidRDefault="00396EBC" w:rsidP="00396EBC">
            <w:pPr>
              <w:numPr>
                <w:ilvl w:val="0"/>
                <w:numId w:val="1"/>
              </w:numPr>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You will need to participate in making a plan for managing technology failures, mental health crises, and medical emergencies</w:t>
            </w:r>
          </w:p>
        </w:tc>
      </w:tr>
      <w:tr w:rsidR="00396EBC" w:rsidRPr="00396EBC" w14:paraId="11C0A2F9" w14:textId="77777777" w:rsidTr="008B4D2B">
        <w:tc>
          <w:tcPr>
            <w:tcW w:w="9360" w:type="dxa"/>
            <w:shd w:val="clear" w:color="auto" w:fill="auto"/>
            <w:tcMar>
              <w:top w:w="100" w:type="dxa"/>
              <w:left w:w="100" w:type="dxa"/>
              <w:bottom w:w="100" w:type="dxa"/>
              <w:right w:w="100" w:type="dxa"/>
            </w:tcMar>
          </w:tcPr>
          <w:p w14:paraId="1075C985" w14:textId="77777777" w:rsidR="00396EBC" w:rsidRPr="00396EBC" w:rsidRDefault="00396EBC" w:rsidP="00396EBC">
            <w:pPr>
              <w:numPr>
                <w:ilvl w:val="0"/>
                <w:numId w:val="1"/>
              </w:numPr>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Your provider follows security best practices and legal standards in order to protect your health care information, but you will also need to participate in maintaining your own security and privacy</w:t>
            </w:r>
          </w:p>
        </w:tc>
      </w:tr>
    </w:tbl>
    <w:p w14:paraId="2638F204" w14:textId="77777777" w:rsidR="00396EBC" w:rsidRPr="00396EBC" w:rsidRDefault="00396EBC" w:rsidP="00396EBC">
      <w:pPr>
        <w:contextualSpacing w:val="0"/>
        <w:rPr>
          <w:rFonts w:ascii="Noto Serif" w:eastAsia="Noto Serif" w:hAnsi="Noto Serif" w:cs="Noto Serif"/>
          <w:i/>
          <w:color w:val="3D85C6"/>
          <w:sz w:val="24"/>
          <w:szCs w:val="24"/>
        </w:rPr>
      </w:pPr>
      <w:r w:rsidRPr="00396EBC">
        <w:rPr>
          <w:rFonts w:ascii="Noto Serif" w:eastAsia="Noto Serif" w:hAnsi="Noto Serif" w:cs="Noto Serif"/>
          <w:color w:val="434343"/>
          <w:sz w:val="24"/>
          <w:szCs w:val="24"/>
        </w:rPr>
        <w:br w:type="page"/>
      </w:r>
    </w:p>
    <w:p w14:paraId="71A948D6" w14:textId="77777777" w:rsidR="00396EBC" w:rsidRPr="00396EBC" w:rsidRDefault="00396EBC" w:rsidP="00396EBC">
      <w:pPr>
        <w:contextualSpacing w:val="0"/>
        <w:rPr>
          <w:rFonts w:ascii="Noto Serif" w:eastAsia="Noto Serif" w:hAnsi="Noto Serif" w:cs="Noto Serif"/>
          <w:i/>
          <w:color w:val="3D85C6"/>
          <w:sz w:val="24"/>
          <w:szCs w:val="24"/>
        </w:rPr>
      </w:pPr>
    </w:p>
    <w:p w14:paraId="065C1B3A" w14:textId="77777777" w:rsidR="00396EBC" w:rsidRPr="00396EBC" w:rsidRDefault="00396EBC" w:rsidP="00396EBC">
      <w:pPr>
        <w:keepNext/>
        <w:keepLines/>
        <w:spacing w:before="320" w:after="80"/>
        <w:contextualSpacing w:val="0"/>
        <w:outlineLvl w:val="2"/>
        <w:rPr>
          <w:rFonts w:ascii="Montserrat" w:eastAsia="Montserrat" w:hAnsi="Montserrat" w:cs="Montserrat"/>
          <w:b/>
          <w:color w:val="8FC855"/>
          <w:sz w:val="32"/>
          <w:szCs w:val="32"/>
        </w:rPr>
      </w:pPr>
      <w:bookmarkStart w:id="2" w:name="_krxg3kjrvyd1" w:colFirst="0" w:colLast="0"/>
      <w:bookmarkEnd w:id="2"/>
      <w:r w:rsidRPr="00396EBC">
        <w:rPr>
          <w:rFonts w:ascii="Montserrat" w:eastAsia="Montserrat" w:hAnsi="Montserrat" w:cs="Montserrat"/>
          <w:b/>
          <w:color w:val="8FC855"/>
          <w:sz w:val="32"/>
          <w:szCs w:val="32"/>
        </w:rPr>
        <w:t xml:space="preserve">What is </w:t>
      </w:r>
      <w:proofErr w:type="spellStart"/>
      <w:r w:rsidRPr="00396EBC">
        <w:rPr>
          <w:rFonts w:ascii="Montserrat" w:eastAsia="Montserrat" w:hAnsi="Montserrat" w:cs="Montserrat"/>
          <w:b/>
          <w:color w:val="8FC855"/>
          <w:sz w:val="32"/>
          <w:szCs w:val="32"/>
        </w:rPr>
        <w:t>Telemental</w:t>
      </w:r>
      <w:proofErr w:type="spellEnd"/>
      <w:r w:rsidRPr="00396EBC">
        <w:rPr>
          <w:rFonts w:ascii="Montserrat" w:eastAsia="Montserrat" w:hAnsi="Montserrat" w:cs="Montserrat"/>
          <w:b/>
          <w:color w:val="8FC855"/>
          <w:sz w:val="32"/>
          <w:szCs w:val="32"/>
        </w:rPr>
        <w:t xml:space="preserve"> Health?</w:t>
      </w:r>
    </w:p>
    <w:p w14:paraId="168D3FB0" w14:textId="77777777" w:rsidR="00396EBC" w:rsidRPr="00396EBC" w:rsidRDefault="00396EBC" w:rsidP="00396EBC">
      <w:pPr>
        <w:contextualSpacing w:val="0"/>
        <w:rPr>
          <w:rFonts w:ascii="Times New Roman" w:eastAsia="Noto Serif" w:hAnsi="Times New Roman" w:cs="Times New Roman"/>
          <w:i/>
          <w:sz w:val="24"/>
          <w:szCs w:val="24"/>
        </w:rPr>
      </w:pPr>
      <w:r w:rsidRPr="00396EBC">
        <w:rPr>
          <w:rFonts w:ascii="Times New Roman" w:eastAsia="Noto Serif" w:hAnsi="Times New Roman" w:cs="Times New Roman"/>
          <w:sz w:val="24"/>
          <w:szCs w:val="24"/>
        </w:rPr>
        <w:t>“</w:t>
      </w:r>
      <w:proofErr w:type="spellStart"/>
      <w:r w:rsidRPr="00396EBC">
        <w:rPr>
          <w:rFonts w:ascii="Times New Roman" w:eastAsia="Noto Serif" w:hAnsi="Times New Roman" w:cs="Times New Roman"/>
          <w:sz w:val="24"/>
          <w:szCs w:val="24"/>
        </w:rPr>
        <w:t>Telemental</w:t>
      </w:r>
      <w:proofErr w:type="spellEnd"/>
      <w:r w:rsidRPr="00396EBC">
        <w:rPr>
          <w:rFonts w:ascii="Times New Roman" w:eastAsia="Noto Serif" w:hAnsi="Times New Roman" w:cs="Times New Roman"/>
          <w:sz w:val="24"/>
          <w:szCs w:val="24"/>
        </w:rPr>
        <w:t xml:space="preserve"> health” means, in short, provision of mental health services with the provider and recipient of services being in separate locations, and the services being delivered over electronic media. </w:t>
      </w:r>
    </w:p>
    <w:p w14:paraId="43D0FE95" w14:textId="77777777" w:rsidR="00396EBC" w:rsidRPr="00396EBC" w:rsidRDefault="00396EBC" w:rsidP="00396EBC">
      <w:pPr>
        <w:contextualSpacing w:val="0"/>
        <w:rPr>
          <w:rFonts w:ascii="Times New Roman" w:eastAsia="Noto Serif" w:hAnsi="Times New Roman" w:cs="Times New Roman"/>
          <w:i/>
          <w:sz w:val="24"/>
          <w:szCs w:val="24"/>
        </w:rPr>
      </w:pPr>
    </w:p>
    <w:p w14:paraId="43C36415"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Services delivered via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rely on a number of electronic, often Internet-based, technology tools. These tools can include videoconferencing software, email, text messaging, virtual environments, specialized mobile health (“</w:t>
      </w:r>
      <w:proofErr w:type="spellStart"/>
      <w:r w:rsidRPr="00396EBC">
        <w:rPr>
          <w:rFonts w:ascii="Noto Serif" w:eastAsia="Noto Serif" w:hAnsi="Noto Serif" w:cs="Noto Serif"/>
          <w:color w:val="434343"/>
          <w:sz w:val="24"/>
          <w:szCs w:val="24"/>
        </w:rPr>
        <w:t>mHealth</w:t>
      </w:r>
      <w:proofErr w:type="spellEnd"/>
      <w:r w:rsidRPr="00396EBC">
        <w:rPr>
          <w:rFonts w:ascii="Noto Serif" w:eastAsia="Noto Serif" w:hAnsi="Noto Serif" w:cs="Noto Serif"/>
          <w:color w:val="434343"/>
          <w:sz w:val="24"/>
          <w:szCs w:val="24"/>
        </w:rPr>
        <w:t xml:space="preserve">”) apps, and others. </w:t>
      </w:r>
    </w:p>
    <w:p w14:paraId="39E35E2F" w14:textId="77777777" w:rsidR="00396EBC" w:rsidRPr="00396EBC" w:rsidRDefault="00396EBC" w:rsidP="00396EBC">
      <w:pPr>
        <w:contextualSpacing w:val="0"/>
        <w:rPr>
          <w:rFonts w:ascii="Noto Serif" w:eastAsia="Noto Serif" w:hAnsi="Noto Serif" w:cs="Noto Serif"/>
          <w:color w:val="434343"/>
          <w:sz w:val="24"/>
          <w:szCs w:val="24"/>
        </w:rPr>
      </w:pPr>
    </w:p>
    <w:p w14:paraId="62A101C5" w14:textId="77777777" w:rsidR="00396EBC" w:rsidRPr="00396EBC" w:rsidRDefault="00396EBC" w:rsidP="00396EBC">
      <w:pPr>
        <w:contextualSpacing w:val="0"/>
        <w:rPr>
          <w:rFonts w:ascii="Noto Serif" w:eastAsia="Noto Serif" w:hAnsi="Noto Serif" w:cs="Noto Serif"/>
          <w:b/>
          <w:color w:val="434343"/>
          <w:sz w:val="24"/>
          <w:szCs w:val="24"/>
        </w:rPr>
      </w:pPr>
      <w:r w:rsidRPr="00396EBC">
        <w:rPr>
          <w:rFonts w:ascii="Noto Serif" w:eastAsia="Noto Serif" w:hAnsi="Noto Serif" w:cs="Noto Serif"/>
          <w:b/>
          <w:color w:val="434343"/>
          <w:sz w:val="24"/>
          <w:szCs w:val="24"/>
        </w:rPr>
        <w:t xml:space="preserve">Your provider typically provides </w:t>
      </w:r>
      <w:proofErr w:type="spellStart"/>
      <w:r w:rsidRPr="00396EBC">
        <w:rPr>
          <w:rFonts w:ascii="Noto Serif" w:eastAsia="Noto Serif" w:hAnsi="Noto Serif" w:cs="Noto Serif"/>
          <w:b/>
          <w:color w:val="434343"/>
          <w:sz w:val="24"/>
          <w:szCs w:val="24"/>
        </w:rPr>
        <w:t>telemental</w:t>
      </w:r>
      <w:proofErr w:type="spellEnd"/>
      <w:r w:rsidRPr="00396EBC">
        <w:rPr>
          <w:rFonts w:ascii="Noto Serif" w:eastAsia="Noto Serif" w:hAnsi="Noto Serif" w:cs="Noto Serif"/>
          <w:b/>
          <w:color w:val="434343"/>
          <w:sz w:val="24"/>
          <w:szCs w:val="24"/>
        </w:rPr>
        <w:t xml:space="preserve"> health services using the following tools: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6EBC" w:rsidRPr="00396EBC" w14:paraId="545C69F0" w14:textId="77777777" w:rsidTr="008B4D2B">
        <w:tc>
          <w:tcPr>
            <w:tcW w:w="9360" w:type="dxa"/>
            <w:shd w:val="clear" w:color="auto" w:fill="auto"/>
            <w:tcMar>
              <w:top w:w="100" w:type="dxa"/>
              <w:left w:w="100" w:type="dxa"/>
              <w:bottom w:w="100" w:type="dxa"/>
              <w:right w:w="100" w:type="dxa"/>
            </w:tcMar>
          </w:tcPr>
          <w:p w14:paraId="55CDD475" w14:textId="77777777" w:rsidR="00396EBC" w:rsidRPr="00396EBC" w:rsidRDefault="00396EBC" w:rsidP="00396EBC">
            <w:pPr>
              <w:contextualSpacing w:val="0"/>
              <w:rPr>
                <w:rFonts w:ascii="Noto Serif" w:eastAsia="Noto Serif" w:hAnsi="Noto Serif" w:cs="Noto Serif"/>
                <w:i/>
                <w:color w:val="3D85C6"/>
                <w:sz w:val="24"/>
                <w:szCs w:val="24"/>
              </w:rPr>
            </w:pPr>
            <w:r w:rsidRPr="00396EBC">
              <w:rPr>
                <w:rFonts w:ascii="Noto Serif" w:eastAsia="Noto Serif" w:hAnsi="Noto Serif" w:cs="Noto Serif"/>
                <w:i/>
                <w:color w:val="3D85C6"/>
                <w:sz w:val="24"/>
                <w:szCs w:val="24"/>
              </w:rPr>
              <w:t xml:space="preserve">Doxy.me – HIPAA compliant platform for </w:t>
            </w:r>
            <w:proofErr w:type="spellStart"/>
            <w:r w:rsidRPr="00396EBC">
              <w:rPr>
                <w:rFonts w:ascii="Noto Serif" w:eastAsia="Noto Serif" w:hAnsi="Noto Serif" w:cs="Noto Serif"/>
                <w:i/>
                <w:color w:val="3D85C6"/>
                <w:sz w:val="24"/>
                <w:szCs w:val="24"/>
              </w:rPr>
              <w:t>telecommuniation</w:t>
            </w:r>
            <w:proofErr w:type="spellEnd"/>
            <w:r w:rsidRPr="00396EBC">
              <w:rPr>
                <w:rFonts w:ascii="Noto Serif" w:eastAsia="Noto Serif" w:hAnsi="Noto Serif" w:cs="Noto Serif"/>
                <w:i/>
                <w:color w:val="3D85C6"/>
                <w:sz w:val="24"/>
                <w:szCs w:val="24"/>
              </w:rPr>
              <w:t xml:space="preserve"> </w:t>
            </w:r>
          </w:p>
        </w:tc>
      </w:tr>
    </w:tbl>
    <w:p w14:paraId="7859096E" w14:textId="77777777" w:rsidR="00396EBC" w:rsidRPr="00396EBC" w:rsidRDefault="00396EBC" w:rsidP="00396EBC">
      <w:pPr>
        <w:contextualSpacing w:val="0"/>
        <w:rPr>
          <w:rFonts w:ascii="Noto Serif" w:eastAsia="Noto Serif" w:hAnsi="Noto Serif" w:cs="Noto Serif"/>
          <w:i/>
          <w:color w:val="3D85C6"/>
          <w:sz w:val="24"/>
          <w:szCs w:val="24"/>
        </w:rPr>
      </w:pPr>
    </w:p>
    <w:p w14:paraId="0ACBBAB9" w14:textId="77777777" w:rsidR="00396EBC" w:rsidRPr="00396EBC" w:rsidRDefault="00396EBC" w:rsidP="00396EBC">
      <w:pPr>
        <w:numPr>
          <w:ilvl w:val="0"/>
          <w:numId w:val="2"/>
        </w:numPr>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You will need access to Internet service and technological tools needed to use the above-listed tools in order to engage in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work with your provider.</w:t>
      </w:r>
    </w:p>
    <w:p w14:paraId="44C70520" w14:textId="77777777" w:rsidR="00396EBC" w:rsidRPr="00396EBC" w:rsidRDefault="00396EBC" w:rsidP="00396EBC">
      <w:pPr>
        <w:numPr>
          <w:ilvl w:val="0"/>
          <w:numId w:val="2"/>
        </w:numPr>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If you have any questions or concerns about the above tools, please address them directly to your provider so you can discuss their risks, benefits, and specific application to your treatment. </w:t>
      </w:r>
    </w:p>
    <w:p w14:paraId="221C8620" w14:textId="77777777" w:rsidR="00396EBC" w:rsidRPr="00396EBC" w:rsidRDefault="00396EBC" w:rsidP="00396EBC">
      <w:pPr>
        <w:keepNext/>
        <w:keepLines/>
        <w:spacing w:before="320" w:after="80"/>
        <w:contextualSpacing w:val="0"/>
        <w:outlineLvl w:val="2"/>
        <w:rPr>
          <w:rFonts w:ascii="Montserrat" w:eastAsia="Montserrat" w:hAnsi="Montserrat" w:cs="Montserrat"/>
          <w:b/>
          <w:color w:val="8FC855"/>
          <w:sz w:val="32"/>
          <w:szCs w:val="32"/>
        </w:rPr>
      </w:pPr>
      <w:bookmarkStart w:id="3" w:name="_uw7qdrjgihp1" w:colFirst="0" w:colLast="0"/>
      <w:bookmarkEnd w:id="3"/>
      <w:r w:rsidRPr="00396EBC">
        <w:rPr>
          <w:rFonts w:ascii="Montserrat" w:eastAsia="Montserrat" w:hAnsi="Montserrat" w:cs="Montserrat"/>
          <w:b/>
          <w:color w:val="8FC855"/>
          <w:sz w:val="32"/>
          <w:szCs w:val="32"/>
        </w:rPr>
        <w:t xml:space="preserve">Benefits and Risks of </w:t>
      </w:r>
      <w:proofErr w:type="spellStart"/>
      <w:r w:rsidRPr="00396EBC">
        <w:rPr>
          <w:rFonts w:ascii="Montserrat" w:eastAsia="Montserrat" w:hAnsi="Montserrat" w:cs="Montserrat"/>
          <w:b/>
          <w:color w:val="8FC855"/>
          <w:sz w:val="32"/>
          <w:szCs w:val="32"/>
        </w:rPr>
        <w:t>Telemental</w:t>
      </w:r>
      <w:proofErr w:type="spellEnd"/>
      <w:r w:rsidRPr="00396EBC">
        <w:rPr>
          <w:rFonts w:ascii="Montserrat" w:eastAsia="Montserrat" w:hAnsi="Montserrat" w:cs="Montserrat"/>
          <w:b/>
          <w:color w:val="8FC855"/>
          <w:sz w:val="32"/>
          <w:szCs w:val="32"/>
        </w:rPr>
        <w:t xml:space="preserve"> Health</w:t>
      </w:r>
    </w:p>
    <w:p w14:paraId="3B5249E0"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b/>
          <w:color w:val="434343"/>
          <w:sz w:val="24"/>
          <w:szCs w:val="24"/>
        </w:rPr>
        <w:t xml:space="preserve">Receiving services via </w:t>
      </w:r>
      <w:proofErr w:type="spellStart"/>
      <w:r w:rsidRPr="00396EBC">
        <w:rPr>
          <w:rFonts w:ascii="Noto Serif" w:eastAsia="Noto Serif" w:hAnsi="Noto Serif" w:cs="Noto Serif"/>
          <w:b/>
          <w:color w:val="434343"/>
          <w:sz w:val="24"/>
          <w:szCs w:val="24"/>
        </w:rPr>
        <w:t>telemental</w:t>
      </w:r>
      <w:proofErr w:type="spellEnd"/>
      <w:r w:rsidRPr="00396EBC">
        <w:rPr>
          <w:rFonts w:ascii="Noto Serif" w:eastAsia="Noto Serif" w:hAnsi="Noto Serif" w:cs="Noto Serif"/>
          <w:b/>
          <w:color w:val="434343"/>
          <w:sz w:val="24"/>
          <w:szCs w:val="24"/>
        </w:rPr>
        <w:t xml:space="preserve"> health allows you to: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6EBC" w:rsidRPr="00396EBC" w14:paraId="26AAFE4E" w14:textId="77777777" w:rsidTr="008B4D2B">
        <w:tc>
          <w:tcPr>
            <w:tcW w:w="9360" w:type="dxa"/>
            <w:shd w:val="clear" w:color="auto" w:fill="auto"/>
            <w:tcMar>
              <w:top w:w="100" w:type="dxa"/>
              <w:left w:w="100" w:type="dxa"/>
              <w:bottom w:w="100" w:type="dxa"/>
              <w:right w:w="100" w:type="dxa"/>
            </w:tcMar>
          </w:tcPr>
          <w:p w14:paraId="5EE8DE74"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Receive services at times or in places where the service may not otherwise be available.</w:t>
            </w:r>
          </w:p>
        </w:tc>
      </w:tr>
      <w:tr w:rsidR="00396EBC" w:rsidRPr="00396EBC" w14:paraId="3013A49F" w14:textId="77777777" w:rsidTr="008B4D2B">
        <w:tc>
          <w:tcPr>
            <w:tcW w:w="9360" w:type="dxa"/>
            <w:shd w:val="clear" w:color="auto" w:fill="auto"/>
            <w:tcMar>
              <w:top w:w="100" w:type="dxa"/>
              <w:left w:w="100" w:type="dxa"/>
              <w:bottom w:w="100" w:type="dxa"/>
              <w:right w:w="100" w:type="dxa"/>
            </w:tcMar>
          </w:tcPr>
          <w:p w14:paraId="08EABAF9"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Receive services in a fashion that may be more convenient and less prone to delays than in-person meetings.</w:t>
            </w:r>
          </w:p>
        </w:tc>
      </w:tr>
      <w:tr w:rsidR="00396EBC" w:rsidRPr="00396EBC" w14:paraId="621C4915" w14:textId="77777777" w:rsidTr="008B4D2B">
        <w:tc>
          <w:tcPr>
            <w:tcW w:w="9360" w:type="dxa"/>
            <w:shd w:val="clear" w:color="auto" w:fill="auto"/>
            <w:tcMar>
              <w:top w:w="100" w:type="dxa"/>
              <w:left w:w="100" w:type="dxa"/>
              <w:bottom w:w="100" w:type="dxa"/>
              <w:right w:w="100" w:type="dxa"/>
            </w:tcMar>
          </w:tcPr>
          <w:p w14:paraId="7C9F2A25"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Receive services when you are unable to travel to the service provider’s office.</w:t>
            </w:r>
          </w:p>
          <w:p w14:paraId="0120CB1A"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The unique characteristics of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media may also help some people make improved progress on health goals that may not have been otherwise achievable without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w:t>
            </w:r>
          </w:p>
        </w:tc>
      </w:tr>
    </w:tbl>
    <w:p w14:paraId="722CA403" w14:textId="77777777" w:rsidR="00396EBC" w:rsidRPr="00396EBC" w:rsidRDefault="00396EBC" w:rsidP="00396EBC">
      <w:pPr>
        <w:contextualSpacing w:val="0"/>
        <w:rPr>
          <w:rFonts w:ascii="Noto Serif" w:eastAsia="Noto Serif" w:hAnsi="Noto Serif" w:cs="Noto Serif"/>
          <w:color w:val="434343"/>
          <w:sz w:val="24"/>
          <w:szCs w:val="24"/>
        </w:rPr>
      </w:pPr>
    </w:p>
    <w:p w14:paraId="359CF649"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b/>
          <w:color w:val="434343"/>
          <w:sz w:val="24"/>
          <w:szCs w:val="24"/>
        </w:rPr>
        <w:t xml:space="preserve">Receiving services via </w:t>
      </w:r>
      <w:proofErr w:type="spellStart"/>
      <w:r w:rsidRPr="00396EBC">
        <w:rPr>
          <w:rFonts w:ascii="Noto Serif" w:eastAsia="Noto Serif" w:hAnsi="Noto Serif" w:cs="Noto Serif"/>
          <w:b/>
          <w:color w:val="434343"/>
          <w:sz w:val="24"/>
          <w:szCs w:val="24"/>
        </w:rPr>
        <w:t>telemental</w:t>
      </w:r>
      <w:proofErr w:type="spellEnd"/>
      <w:r w:rsidRPr="00396EBC">
        <w:rPr>
          <w:rFonts w:ascii="Noto Serif" w:eastAsia="Noto Serif" w:hAnsi="Noto Serif" w:cs="Noto Serif"/>
          <w:b/>
          <w:color w:val="434343"/>
          <w:sz w:val="24"/>
          <w:szCs w:val="24"/>
        </w:rPr>
        <w:t xml:space="preserve"> health has the following risks: </w:t>
      </w:r>
    </w:p>
    <w:p w14:paraId="61A11746" w14:textId="77777777" w:rsidR="00396EBC" w:rsidRPr="00396EBC" w:rsidRDefault="00396EBC" w:rsidP="00396EBC">
      <w:pPr>
        <w:contextualSpacing w:val="0"/>
        <w:rPr>
          <w:rFonts w:ascii="Noto Serif" w:eastAsia="Noto Serif" w:hAnsi="Noto Serif" w:cs="Noto Serif"/>
          <w:color w:val="434343"/>
          <w:sz w:val="24"/>
          <w:szCs w:val="24"/>
        </w:rPr>
      </w:pP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services can be impacted by technical failures, may introduce risks to your privacy, and may reduce your service provider’s ability to directly intervene in crises or emergencies. Here is a non-exhaustive list of examples: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6EBC" w:rsidRPr="00396EBC" w14:paraId="2A16DA0A" w14:textId="77777777" w:rsidTr="008B4D2B">
        <w:tc>
          <w:tcPr>
            <w:tcW w:w="9360" w:type="dxa"/>
            <w:shd w:val="clear" w:color="auto" w:fill="auto"/>
            <w:tcMar>
              <w:top w:w="100" w:type="dxa"/>
              <w:left w:w="100" w:type="dxa"/>
              <w:bottom w:w="100" w:type="dxa"/>
              <w:right w:w="100" w:type="dxa"/>
            </w:tcMar>
          </w:tcPr>
          <w:p w14:paraId="7C06C094"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Internet connections and cloud services could cease working or become too unstable to use</w:t>
            </w:r>
          </w:p>
        </w:tc>
      </w:tr>
      <w:tr w:rsidR="00396EBC" w:rsidRPr="00396EBC" w14:paraId="1E66558D" w14:textId="77777777" w:rsidTr="008B4D2B">
        <w:tc>
          <w:tcPr>
            <w:tcW w:w="9360" w:type="dxa"/>
            <w:shd w:val="clear" w:color="auto" w:fill="auto"/>
            <w:tcMar>
              <w:top w:w="100" w:type="dxa"/>
              <w:left w:w="100" w:type="dxa"/>
              <w:bottom w:w="100" w:type="dxa"/>
              <w:right w:w="100" w:type="dxa"/>
            </w:tcMar>
          </w:tcPr>
          <w:p w14:paraId="49B7773E"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lastRenderedPageBreak/>
              <w:t xml:space="preserve">Cloud-based service personnel, IT assistants, and malicious actors (“hackers”) may have the ability to access your private information that is transmitted or stored in the process of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health-based service delivery.</w:t>
            </w:r>
          </w:p>
        </w:tc>
      </w:tr>
      <w:tr w:rsidR="00396EBC" w:rsidRPr="00396EBC" w14:paraId="51F7E637" w14:textId="77777777" w:rsidTr="008B4D2B">
        <w:tc>
          <w:tcPr>
            <w:tcW w:w="9360" w:type="dxa"/>
            <w:shd w:val="clear" w:color="auto" w:fill="auto"/>
            <w:tcMar>
              <w:top w:w="100" w:type="dxa"/>
              <w:left w:w="100" w:type="dxa"/>
              <w:bottom w:w="100" w:type="dxa"/>
              <w:right w:w="100" w:type="dxa"/>
            </w:tcMar>
          </w:tcPr>
          <w:p w14:paraId="56ECB566"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Computer or smartphone hardware can have sudden failures or run out of power, or local power services can go out.</w:t>
            </w:r>
          </w:p>
        </w:tc>
      </w:tr>
    </w:tbl>
    <w:p w14:paraId="2E47B5DB" w14:textId="77777777" w:rsidR="00396EBC" w:rsidRPr="00396EBC" w:rsidRDefault="00396EBC" w:rsidP="00396EBC">
      <w:pPr>
        <w:contextualSpacing w:val="0"/>
        <w:rPr>
          <w:rFonts w:ascii="Noto Serif" w:eastAsia="Noto Serif" w:hAnsi="Noto Serif" w:cs="Noto Serif"/>
          <w:color w:val="434343"/>
          <w:sz w:val="24"/>
          <w:szCs w:val="24"/>
        </w:rPr>
      </w:pPr>
    </w:p>
    <w:p w14:paraId="10185F4A"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Interruptions may disrupt services at important moments, and your provider may be unable to reach you quickly or using the most effective tools. Your provider may also be unable to help you in-person.</w:t>
      </w:r>
    </w:p>
    <w:p w14:paraId="120C4D5D" w14:textId="77777777" w:rsidR="00396EBC" w:rsidRPr="00396EBC" w:rsidRDefault="00396EBC" w:rsidP="00396EBC">
      <w:pPr>
        <w:contextualSpacing w:val="0"/>
        <w:rPr>
          <w:rFonts w:ascii="Noto Serif" w:eastAsia="Noto Serif" w:hAnsi="Noto Serif" w:cs="Noto Serif"/>
          <w:color w:val="434343"/>
          <w:sz w:val="24"/>
          <w:szCs w:val="24"/>
        </w:rPr>
      </w:pPr>
    </w:p>
    <w:p w14:paraId="7D009417"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There may be additional benefits and risks to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services that arise from the lack of in-person contact or presence, the distance between you and your provider at the time of service, and the technological tools used to deliver services. Your provider will assess these potential benefits and risks, sometimes in collaboration with you, as your relationship progresses.</w:t>
      </w:r>
    </w:p>
    <w:p w14:paraId="1A3E361C" w14:textId="77777777" w:rsidR="00396EBC" w:rsidRPr="00396EBC" w:rsidRDefault="00396EBC" w:rsidP="00396EBC">
      <w:pPr>
        <w:keepNext/>
        <w:keepLines/>
        <w:spacing w:before="320" w:after="80"/>
        <w:contextualSpacing w:val="0"/>
        <w:outlineLvl w:val="2"/>
        <w:rPr>
          <w:rFonts w:ascii="Montserrat" w:eastAsia="Montserrat" w:hAnsi="Montserrat" w:cs="Montserrat"/>
          <w:b/>
          <w:color w:val="8FC855"/>
          <w:sz w:val="32"/>
          <w:szCs w:val="32"/>
        </w:rPr>
      </w:pPr>
      <w:bookmarkStart w:id="4" w:name="_8nt1wqgz0xmu" w:colFirst="0" w:colLast="0"/>
      <w:bookmarkEnd w:id="4"/>
      <w:r w:rsidRPr="00396EBC">
        <w:rPr>
          <w:rFonts w:ascii="Montserrat" w:eastAsia="Montserrat" w:hAnsi="Montserrat" w:cs="Montserrat"/>
          <w:b/>
          <w:color w:val="8FC855"/>
          <w:sz w:val="32"/>
          <w:szCs w:val="32"/>
        </w:rPr>
        <w:t xml:space="preserve">Assessing </w:t>
      </w:r>
      <w:proofErr w:type="spellStart"/>
      <w:r w:rsidRPr="00396EBC">
        <w:rPr>
          <w:rFonts w:ascii="Montserrat" w:eastAsia="Montserrat" w:hAnsi="Montserrat" w:cs="Montserrat"/>
          <w:b/>
          <w:color w:val="8FC855"/>
          <w:sz w:val="32"/>
          <w:szCs w:val="32"/>
        </w:rPr>
        <w:t>Telemental</w:t>
      </w:r>
      <w:proofErr w:type="spellEnd"/>
      <w:r w:rsidRPr="00396EBC">
        <w:rPr>
          <w:rFonts w:ascii="Montserrat" w:eastAsia="Montserrat" w:hAnsi="Montserrat" w:cs="Montserrat"/>
          <w:b/>
          <w:color w:val="8FC855"/>
          <w:sz w:val="32"/>
          <w:szCs w:val="32"/>
        </w:rPr>
        <w:t xml:space="preserve"> Health’s Fit </w:t>
      </w:r>
      <w:proofErr w:type="gramStart"/>
      <w:r w:rsidRPr="00396EBC">
        <w:rPr>
          <w:rFonts w:ascii="Montserrat" w:eastAsia="Montserrat" w:hAnsi="Montserrat" w:cs="Montserrat"/>
          <w:b/>
          <w:color w:val="8FC855"/>
          <w:sz w:val="32"/>
          <w:szCs w:val="32"/>
        </w:rPr>
        <w:t>For</w:t>
      </w:r>
      <w:proofErr w:type="gramEnd"/>
      <w:r w:rsidRPr="00396EBC">
        <w:rPr>
          <w:rFonts w:ascii="Montserrat" w:eastAsia="Montserrat" w:hAnsi="Montserrat" w:cs="Montserrat"/>
          <w:b/>
          <w:color w:val="8FC855"/>
          <w:sz w:val="32"/>
          <w:szCs w:val="32"/>
        </w:rPr>
        <w:t xml:space="preserve"> You</w:t>
      </w:r>
    </w:p>
    <w:p w14:paraId="5FAE9E78"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Although it is well validated by research, service delivery via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is not a good fit for every person. Your provider will continuously assess if working via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is appropriate for your case. If it is not appropriate, your provider will help you find in-person providers with whom to continue services. </w:t>
      </w:r>
    </w:p>
    <w:p w14:paraId="49025AAD" w14:textId="77777777" w:rsidR="00396EBC" w:rsidRPr="00396EBC" w:rsidRDefault="00396EBC" w:rsidP="00396EBC">
      <w:pPr>
        <w:contextualSpacing w:val="0"/>
        <w:rPr>
          <w:rFonts w:ascii="Noto Serif" w:eastAsia="Noto Serif" w:hAnsi="Noto Serif" w:cs="Noto Serif"/>
          <w:color w:val="434343"/>
          <w:sz w:val="24"/>
          <w:szCs w:val="24"/>
        </w:rPr>
      </w:pPr>
    </w:p>
    <w:p w14:paraId="7A5D8D10"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Please talk to your provider if you find the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media so difficult to use that it distracts from the services being provided, if the medium causes trouble focusing on your services, or if there are any other reasons why the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medium seems to be causing problems in receiving services. </w:t>
      </w:r>
      <w:r w:rsidRPr="00396EBC">
        <w:rPr>
          <w:rFonts w:ascii="Noto Serif" w:eastAsia="Noto Serif" w:hAnsi="Noto Serif" w:cs="Noto Serif"/>
          <w:b/>
          <w:color w:val="434343"/>
          <w:sz w:val="24"/>
          <w:szCs w:val="24"/>
        </w:rPr>
        <w:t xml:space="preserve">Raising your questions or concerns will not, by itself, result in termination of services. </w:t>
      </w:r>
      <w:r w:rsidRPr="00396EBC">
        <w:rPr>
          <w:rFonts w:ascii="Noto Serif" w:eastAsia="Noto Serif" w:hAnsi="Noto Serif" w:cs="Noto Serif"/>
          <w:color w:val="434343"/>
          <w:sz w:val="24"/>
          <w:szCs w:val="24"/>
        </w:rPr>
        <w:t>Bringing your concerns to your provider is often a part of the process.</w:t>
      </w:r>
    </w:p>
    <w:p w14:paraId="71F9A66E" w14:textId="77777777" w:rsidR="00396EBC" w:rsidRPr="00396EBC" w:rsidRDefault="00396EBC" w:rsidP="00396EBC">
      <w:pPr>
        <w:contextualSpacing w:val="0"/>
        <w:rPr>
          <w:rFonts w:ascii="Noto Serif" w:eastAsia="Noto Serif" w:hAnsi="Noto Serif" w:cs="Noto Serif"/>
          <w:color w:val="434343"/>
          <w:sz w:val="24"/>
          <w:szCs w:val="24"/>
        </w:rPr>
      </w:pPr>
    </w:p>
    <w:p w14:paraId="1172C17A" w14:textId="77777777" w:rsidR="00396EBC" w:rsidRPr="00396EBC" w:rsidRDefault="00396EBC" w:rsidP="00396EBC">
      <w:pPr>
        <w:contextualSpacing w:val="0"/>
        <w:rPr>
          <w:rFonts w:ascii="Noto Serif" w:eastAsia="Noto Serif" w:hAnsi="Noto Serif" w:cs="Noto Serif"/>
          <w:i/>
          <w:color w:val="3D85C6"/>
          <w:sz w:val="24"/>
          <w:szCs w:val="24"/>
        </w:rPr>
      </w:pPr>
      <w:r w:rsidRPr="00396EBC">
        <w:rPr>
          <w:rFonts w:ascii="Noto Serif" w:eastAsia="Noto Serif" w:hAnsi="Noto Serif" w:cs="Noto Serif"/>
          <w:color w:val="434343"/>
          <w:sz w:val="24"/>
          <w:szCs w:val="24"/>
        </w:rPr>
        <w:t xml:space="preserve">You also have a right to stop receiving services by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at any time without prejudice. If your provider also provides services in-person and you are reasonably able to access the provider’s in-person services, you will not be prevented from accessing those services if you choose to stop using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w:t>
      </w:r>
    </w:p>
    <w:p w14:paraId="7A750E01" w14:textId="77777777" w:rsidR="00396EBC" w:rsidRPr="00396EBC" w:rsidRDefault="00396EBC" w:rsidP="00396EBC">
      <w:pPr>
        <w:keepNext/>
        <w:keepLines/>
        <w:spacing w:before="320" w:after="80"/>
        <w:contextualSpacing w:val="0"/>
        <w:outlineLvl w:val="2"/>
        <w:rPr>
          <w:rFonts w:ascii="Montserrat" w:eastAsia="Montserrat" w:hAnsi="Montserrat" w:cs="Montserrat"/>
          <w:b/>
          <w:color w:val="8FC855"/>
          <w:sz w:val="32"/>
          <w:szCs w:val="32"/>
        </w:rPr>
      </w:pPr>
      <w:bookmarkStart w:id="5" w:name="_aqse4ohg7z7o" w:colFirst="0" w:colLast="0"/>
      <w:bookmarkEnd w:id="5"/>
      <w:proofErr w:type="gramStart"/>
      <w:r w:rsidRPr="00396EBC">
        <w:rPr>
          <w:rFonts w:ascii="Montserrat" w:eastAsia="Montserrat" w:hAnsi="Montserrat" w:cs="Montserrat"/>
          <w:b/>
          <w:color w:val="8FC855"/>
          <w:sz w:val="32"/>
          <w:szCs w:val="32"/>
        </w:rPr>
        <w:t>Your</w:t>
      </w:r>
      <w:proofErr w:type="gramEnd"/>
      <w:r w:rsidRPr="00396EBC">
        <w:rPr>
          <w:rFonts w:ascii="Montserrat" w:eastAsia="Montserrat" w:hAnsi="Montserrat" w:cs="Montserrat"/>
          <w:b/>
          <w:color w:val="8FC855"/>
          <w:sz w:val="32"/>
          <w:szCs w:val="32"/>
        </w:rPr>
        <w:t xml:space="preserve"> </w:t>
      </w:r>
      <w:proofErr w:type="spellStart"/>
      <w:r w:rsidRPr="00396EBC">
        <w:rPr>
          <w:rFonts w:ascii="Montserrat" w:eastAsia="Montserrat" w:hAnsi="Montserrat" w:cs="Montserrat"/>
          <w:b/>
          <w:color w:val="8FC855"/>
          <w:sz w:val="32"/>
          <w:szCs w:val="32"/>
        </w:rPr>
        <w:t>Telemental</w:t>
      </w:r>
      <w:proofErr w:type="spellEnd"/>
      <w:r w:rsidRPr="00396EBC">
        <w:rPr>
          <w:rFonts w:ascii="Montserrat" w:eastAsia="Montserrat" w:hAnsi="Montserrat" w:cs="Montserrat"/>
          <w:b/>
          <w:color w:val="8FC855"/>
          <w:sz w:val="32"/>
          <w:szCs w:val="32"/>
        </w:rPr>
        <w:t xml:space="preserve"> Health Environment</w:t>
      </w:r>
    </w:p>
    <w:p w14:paraId="77A72E67"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You will be responsible for creating a safe and confidential space during sessions. You should use a space that is free of other people. It should also be difficult or impossible for people outside the space to see or hear your interactions with your provider during the session. If you are unsure of how to do this, please ask your provider for assistance. </w:t>
      </w:r>
    </w:p>
    <w:p w14:paraId="63AC10F0" w14:textId="77777777" w:rsidR="00396EBC" w:rsidRPr="00396EBC" w:rsidRDefault="00396EBC" w:rsidP="00396EBC">
      <w:pPr>
        <w:keepNext/>
        <w:keepLines/>
        <w:spacing w:before="320" w:after="80"/>
        <w:contextualSpacing w:val="0"/>
        <w:outlineLvl w:val="2"/>
        <w:rPr>
          <w:rFonts w:ascii="Montserrat" w:eastAsia="Montserrat" w:hAnsi="Montserrat" w:cs="Montserrat"/>
          <w:b/>
          <w:color w:val="8FC855"/>
          <w:sz w:val="32"/>
          <w:szCs w:val="32"/>
        </w:rPr>
      </w:pPr>
      <w:bookmarkStart w:id="6" w:name="_1n4v2ac192qf" w:colFirst="0" w:colLast="0"/>
      <w:bookmarkEnd w:id="6"/>
      <w:r w:rsidRPr="00396EBC">
        <w:rPr>
          <w:rFonts w:ascii="Montserrat" w:eastAsia="Montserrat" w:hAnsi="Montserrat" w:cs="Montserrat"/>
          <w:b/>
          <w:color w:val="8FC855"/>
          <w:sz w:val="32"/>
          <w:szCs w:val="32"/>
        </w:rPr>
        <w:lastRenderedPageBreak/>
        <w:t>Our Communication Plan</w:t>
      </w:r>
    </w:p>
    <w:p w14:paraId="5B12BA33"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At our first session, we will develop a plan for backup communications in case of technology failures and a plan for responding to emergencies and mental health crises. In addition to those plans, your provider has the following policies regarding communications: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96EBC" w:rsidRPr="00396EBC" w14:paraId="1BFB21A3" w14:textId="77777777" w:rsidTr="008B4D2B">
        <w:tc>
          <w:tcPr>
            <w:tcW w:w="9360" w:type="dxa"/>
            <w:shd w:val="clear" w:color="auto" w:fill="auto"/>
            <w:tcMar>
              <w:top w:w="100" w:type="dxa"/>
              <w:left w:w="100" w:type="dxa"/>
              <w:bottom w:w="100" w:type="dxa"/>
              <w:right w:w="100" w:type="dxa"/>
            </w:tcMar>
          </w:tcPr>
          <w:p w14:paraId="787E2FC2" w14:textId="40E3A476"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The best way to contact your provider between sessions is</w:t>
            </w:r>
            <w:r>
              <w:rPr>
                <w:rFonts w:ascii="Noto Serif" w:eastAsia="Noto Serif" w:hAnsi="Noto Serif" w:cs="Noto Serif"/>
                <w:color w:val="434343"/>
                <w:sz w:val="24"/>
                <w:szCs w:val="24"/>
              </w:rPr>
              <w:t xml:space="preserve"> by phone at ___________________</w:t>
            </w:r>
          </w:p>
        </w:tc>
      </w:tr>
      <w:tr w:rsidR="00396EBC" w:rsidRPr="00396EBC" w14:paraId="0A1C66F2" w14:textId="77777777" w:rsidTr="008B4D2B">
        <w:tc>
          <w:tcPr>
            <w:tcW w:w="9360" w:type="dxa"/>
            <w:shd w:val="clear" w:color="auto" w:fill="auto"/>
            <w:tcMar>
              <w:top w:w="100" w:type="dxa"/>
              <w:left w:w="100" w:type="dxa"/>
              <w:bottom w:w="100" w:type="dxa"/>
              <w:right w:w="100" w:type="dxa"/>
            </w:tcMar>
          </w:tcPr>
          <w:p w14:paraId="0C461CF2"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Your provider will respond to your messages </w:t>
            </w:r>
            <w:r w:rsidRPr="00396EBC">
              <w:rPr>
                <w:rFonts w:ascii="Noto Serif" w:eastAsia="Noto Serif" w:hAnsi="Noto Serif" w:cs="Noto Serif"/>
                <w:sz w:val="24"/>
                <w:szCs w:val="24"/>
              </w:rPr>
              <w:t xml:space="preserve">within 24 to 48 hours. </w:t>
            </w:r>
            <w:r w:rsidRPr="00396EBC">
              <w:rPr>
                <w:rFonts w:ascii="Noto Serif" w:eastAsia="Noto Serif" w:hAnsi="Noto Serif" w:cs="Noto Serif"/>
                <w:color w:val="434343"/>
                <w:sz w:val="24"/>
                <w:szCs w:val="24"/>
              </w:rPr>
              <w:t xml:space="preserve">Please note that your provider may not respond at all on weekends or holidays. Your provider may also respond sooner than stated in this policy. That does not mean they will always respond that quickly. </w:t>
            </w:r>
          </w:p>
          <w:p w14:paraId="78D12243" w14:textId="77777777" w:rsidR="00396EBC" w:rsidRPr="00396EBC" w:rsidRDefault="00396EBC" w:rsidP="00396EBC">
            <w:pPr>
              <w:widowControl w:val="0"/>
              <w:pBdr>
                <w:top w:val="nil"/>
                <w:left w:val="nil"/>
                <w:bottom w:val="nil"/>
                <w:right w:val="nil"/>
                <w:between w:val="nil"/>
              </w:pBdr>
              <w:spacing w:line="240" w:lineRule="auto"/>
              <w:contextualSpacing w:val="0"/>
              <w:rPr>
                <w:rFonts w:ascii="Noto Serif" w:eastAsia="Noto Serif" w:hAnsi="Noto Serif" w:cs="Noto Serif"/>
                <w:color w:val="434343"/>
                <w:sz w:val="24"/>
                <w:szCs w:val="24"/>
              </w:rPr>
            </w:pPr>
          </w:p>
        </w:tc>
      </w:tr>
    </w:tbl>
    <w:p w14:paraId="7EA5F61A" w14:textId="77777777" w:rsidR="00396EBC" w:rsidRPr="00396EBC" w:rsidRDefault="00396EBC" w:rsidP="00396EBC">
      <w:pPr>
        <w:contextualSpacing w:val="0"/>
        <w:rPr>
          <w:rFonts w:ascii="Noto Serif" w:eastAsia="Noto Serif" w:hAnsi="Noto Serif" w:cs="Noto Serif"/>
          <w:color w:val="434343"/>
          <w:sz w:val="24"/>
          <w:szCs w:val="24"/>
        </w:rPr>
      </w:pPr>
    </w:p>
    <w:p w14:paraId="3FDF3962"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Our work is done primarily during our appointed sessions, which will generally occur during regular business hours. Contact between sessions should be limited to:</w:t>
      </w:r>
    </w:p>
    <w:tbl>
      <w:tblPr>
        <w:tblW w:w="989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9"/>
      </w:tblGrid>
      <w:tr w:rsidR="00396EBC" w:rsidRPr="00396EBC" w14:paraId="04434CEF" w14:textId="77777777" w:rsidTr="008B4D2B">
        <w:trPr>
          <w:trHeight w:val="270"/>
        </w:trPr>
        <w:tc>
          <w:tcPr>
            <w:tcW w:w="9899" w:type="dxa"/>
            <w:shd w:val="clear" w:color="auto" w:fill="auto"/>
            <w:tcMar>
              <w:top w:w="100" w:type="dxa"/>
              <w:left w:w="100" w:type="dxa"/>
              <w:bottom w:w="100" w:type="dxa"/>
              <w:right w:w="100" w:type="dxa"/>
            </w:tcMar>
          </w:tcPr>
          <w:p w14:paraId="71A93AD7"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Confirming or changing appointment times</w:t>
            </w:r>
          </w:p>
        </w:tc>
      </w:tr>
      <w:tr w:rsidR="00396EBC" w:rsidRPr="00396EBC" w14:paraId="6C1D71D0" w14:textId="77777777" w:rsidTr="008B4D2B">
        <w:trPr>
          <w:trHeight w:val="262"/>
        </w:trPr>
        <w:tc>
          <w:tcPr>
            <w:tcW w:w="9899" w:type="dxa"/>
            <w:shd w:val="clear" w:color="auto" w:fill="auto"/>
            <w:tcMar>
              <w:top w:w="100" w:type="dxa"/>
              <w:left w:w="100" w:type="dxa"/>
              <w:bottom w:w="100" w:type="dxa"/>
              <w:right w:w="100" w:type="dxa"/>
            </w:tcMar>
          </w:tcPr>
          <w:p w14:paraId="24EB25FF" w14:textId="78292818"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Billing questions or issues</w:t>
            </w:r>
            <w:r>
              <w:rPr>
                <w:rFonts w:ascii="Noto Serif" w:eastAsia="Noto Serif" w:hAnsi="Noto Serif" w:cs="Noto Serif"/>
                <w:color w:val="434343"/>
                <w:sz w:val="24"/>
                <w:szCs w:val="24"/>
              </w:rPr>
              <w:t xml:space="preserve"> </w:t>
            </w:r>
            <w:bookmarkStart w:id="7" w:name="_GoBack"/>
            <w:bookmarkEnd w:id="7"/>
          </w:p>
        </w:tc>
      </w:tr>
      <w:tr w:rsidR="00396EBC" w:rsidRPr="00396EBC" w14:paraId="761FD496" w14:textId="77777777" w:rsidTr="008B4D2B">
        <w:trPr>
          <w:trHeight w:val="20"/>
        </w:trPr>
        <w:tc>
          <w:tcPr>
            <w:tcW w:w="9899" w:type="dxa"/>
            <w:shd w:val="clear" w:color="auto" w:fill="auto"/>
            <w:tcMar>
              <w:top w:w="100" w:type="dxa"/>
              <w:left w:w="100" w:type="dxa"/>
              <w:bottom w:w="100" w:type="dxa"/>
              <w:right w:w="100" w:type="dxa"/>
            </w:tcMar>
          </w:tcPr>
          <w:p w14:paraId="40A43206" w14:textId="77777777" w:rsidR="00396EBC" w:rsidRPr="00396EBC" w:rsidRDefault="00396EBC" w:rsidP="00396EBC">
            <w:pPr>
              <w:contextualSpacing w:val="0"/>
              <w:rPr>
                <w:rFonts w:ascii="Noto Serif" w:eastAsia="Noto Serif" w:hAnsi="Noto Serif" w:cs="Noto Serif"/>
                <w:color w:val="434343"/>
                <w:sz w:val="24"/>
                <w:szCs w:val="24"/>
              </w:rPr>
            </w:pPr>
          </w:p>
        </w:tc>
      </w:tr>
    </w:tbl>
    <w:p w14:paraId="3E2B787A" w14:textId="77777777" w:rsidR="00396EBC" w:rsidRPr="00396EBC" w:rsidRDefault="00396EBC" w:rsidP="00396EBC">
      <w:pPr>
        <w:contextualSpacing w:val="0"/>
        <w:rPr>
          <w:rFonts w:ascii="Noto Serif" w:eastAsia="Noto Serif" w:hAnsi="Noto Serif" w:cs="Noto Serif"/>
          <w:color w:val="434343"/>
          <w:sz w:val="24"/>
          <w:szCs w:val="24"/>
        </w:rPr>
      </w:pPr>
    </w:p>
    <w:p w14:paraId="24B9AF12"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Please note that all textual messages you exchange with your provider, e.g. emails and text messages, will become a part of your health record.</w:t>
      </w:r>
    </w:p>
    <w:p w14:paraId="027E1BB6" w14:textId="77777777" w:rsidR="00396EBC" w:rsidRPr="00396EBC" w:rsidRDefault="00396EBC" w:rsidP="00396EBC">
      <w:pPr>
        <w:contextualSpacing w:val="0"/>
        <w:rPr>
          <w:rFonts w:ascii="Noto Serif" w:eastAsia="Noto Serif" w:hAnsi="Noto Serif" w:cs="Noto Serif"/>
          <w:color w:val="434343"/>
          <w:sz w:val="24"/>
          <w:szCs w:val="24"/>
        </w:rPr>
      </w:pPr>
    </w:p>
    <w:p w14:paraId="3AF9C43F"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Your provider may coordinate care with one or more of your other providers. Your provider will use reasonable care to ensure that those communications are secure and that they safeguard your privacy.</w:t>
      </w:r>
    </w:p>
    <w:p w14:paraId="1AEA8865" w14:textId="77777777" w:rsidR="00396EBC" w:rsidRPr="00396EBC" w:rsidRDefault="00396EBC" w:rsidP="00396EBC">
      <w:pPr>
        <w:keepNext/>
        <w:keepLines/>
        <w:spacing w:before="320" w:after="80"/>
        <w:contextualSpacing w:val="0"/>
        <w:outlineLvl w:val="2"/>
        <w:rPr>
          <w:rFonts w:ascii="Montserrat" w:eastAsia="Montserrat" w:hAnsi="Montserrat" w:cs="Montserrat"/>
          <w:b/>
          <w:color w:val="8FC855"/>
          <w:sz w:val="32"/>
          <w:szCs w:val="32"/>
        </w:rPr>
      </w:pPr>
      <w:bookmarkStart w:id="8" w:name="_ta1t5hs1dbmg" w:colFirst="0" w:colLast="0"/>
      <w:bookmarkEnd w:id="8"/>
      <w:r w:rsidRPr="00396EBC">
        <w:rPr>
          <w:rFonts w:ascii="Montserrat" w:eastAsia="Montserrat" w:hAnsi="Montserrat" w:cs="Montserrat"/>
          <w:b/>
          <w:color w:val="8FC855"/>
          <w:sz w:val="32"/>
          <w:szCs w:val="32"/>
        </w:rPr>
        <w:t>Our Safety and Emergency Plan</w:t>
      </w:r>
    </w:p>
    <w:p w14:paraId="327F5D90"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As a recipient of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health-based services, you will need to participate in ensuring your safety during mental health crises, medical emergencies, and sessions that you have with your provider.</w:t>
      </w:r>
    </w:p>
    <w:p w14:paraId="5B35331B" w14:textId="77777777" w:rsidR="00396EBC" w:rsidRPr="00396EBC" w:rsidRDefault="00396EBC" w:rsidP="00396EBC">
      <w:pPr>
        <w:contextualSpacing w:val="0"/>
        <w:rPr>
          <w:rFonts w:ascii="Noto Serif" w:eastAsia="Noto Serif" w:hAnsi="Noto Serif" w:cs="Noto Serif"/>
          <w:color w:val="434343"/>
          <w:sz w:val="24"/>
          <w:szCs w:val="24"/>
        </w:rPr>
      </w:pPr>
    </w:p>
    <w:p w14:paraId="22F66BD3"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Your provider will require you to designate an emergency contact. You will need to provide permission for your provider to communicate with this person about your care during emergencies. </w:t>
      </w:r>
    </w:p>
    <w:p w14:paraId="62934F66" w14:textId="77777777" w:rsidR="00396EBC" w:rsidRPr="00396EBC" w:rsidRDefault="00396EBC" w:rsidP="00396EBC">
      <w:pPr>
        <w:contextualSpacing w:val="0"/>
        <w:rPr>
          <w:rFonts w:ascii="Noto Serif" w:eastAsia="Noto Serif" w:hAnsi="Noto Serif" w:cs="Noto Serif"/>
          <w:color w:val="434343"/>
          <w:sz w:val="24"/>
          <w:szCs w:val="24"/>
        </w:rPr>
      </w:pPr>
    </w:p>
    <w:p w14:paraId="4859DC6A"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Your provider will also develop with you a plan for what to do during mental health crises and emergencies, and a plan for how to keep your space safe during sessions. It is important that you engage with your provider in the creation of these plans and that you follow them when you need to.</w:t>
      </w:r>
    </w:p>
    <w:p w14:paraId="3A69989D" w14:textId="77777777" w:rsidR="00396EBC" w:rsidRPr="00396EBC" w:rsidRDefault="00396EBC" w:rsidP="00396EBC">
      <w:pPr>
        <w:keepNext/>
        <w:keepLines/>
        <w:spacing w:before="320" w:after="80"/>
        <w:contextualSpacing w:val="0"/>
        <w:outlineLvl w:val="2"/>
        <w:rPr>
          <w:rFonts w:ascii="Montserrat" w:eastAsia="Montserrat" w:hAnsi="Montserrat" w:cs="Montserrat"/>
          <w:b/>
          <w:color w:val="8FC855"/>
          <w:sz w:val="32"/>
          <w:szCs w:val="32"/>
        </w:rPr>
      </w:pPr>
      <w:bookmarkStart w:id="9" w:name="_9l1ikc2zekir" w:colFirst="0" w:colLast="0"/>
      <w:bookmarkEnd w:id="9"/>
      <w:r w:rsidRPr="00396EBC">
        <w:rPr>
          <w:rFonts w:ascii="Montserrat" w:eastAsia="Montserrat" w:hAnsi="Montserrat" w:cs="Montserrat"/>
          <w:b/>
          <w:color w:val="8FC855"/>
          <w:sz w:val="32"/>
          <w:szCs w:val="32"/>
        </w:rPr>
        <w:lastRenderedPageBreak/>
        <w:t>Your Security and Privacy</w:t>
      </w:r>
    </w:p>
    <w:p w14:paraId="00108B2B"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Except where otherwise noted, your provider employs software and hardware tools that adhere to security best practices and applicable legal standards for the purposes of protecting your privacy and ensuring that records of your health care services are not lost or damaged. </w:t>
      </w:r>
    </w:p>
    <w:p w14:paraId="15B792B7" w14:textId="77777777" w:rsidR="00396EBC" w:rsidRPr="00396EBC" w:rsidRDefault="00396EBC" w:rsidP="00396EBC">
      <w:pPr>
        <w:contextualSpacing w:val="0"/>
        <w:rPr>
          <w:rFonts w:ascii="Noto Serif" w:eastAsia="Noto Serif" w:hAnsi="Noto Serif" w:cs="Noto Serif"/>
          <w:color w:val="434343"/>
          <w:sz w:val="24"/>
          <w:szCs w:val="24"/>
        </w:rPr>
      </w:pPr>
    </w:p>
    <w:p w14:paraId="3E8442C2" w14:textId="77777777" w:rsidR="00396EBC" w:rsidRPr="00396EBC" w:rsidRDefault="00396EBC" w:rsidP="00396EBC">
      <w:pPr>
        <w:contextualSpacing w:val="0"/>
        <w:rPr>
          <w:rFonts w:ascii="Noto Serif" w:eastAsia="Noto Serif" w:hAnsi="Noto Serif" w:cs="Noto Serif"/>
          <w:color w:val="434343"/>
          <w:sz w:val="24"/>
          <w:szCs w:val="24"/>
        </w:rPr>
      </w:pPr>
      <w:r w:rsidRPr="00396EBC">
        <w:rPr>
          <w:rFonts w:ascii="Noto Serif" w:eastAsia="Noto Serif" w:hAnsi="Noto Serif" w:cs="Noto Serif"/>
          <w:color w:val="434343"/>
          <w:sz w:val="24"/>
          <w:szCs w:val="24"/>
        </w:rPr>
        <w:t xml:space="preserve">As with all things in </w:t>
      </w:r>
      <w:proofErr w:type="spellStart"/>
      <w:r w:rsidRPr="00396EBC">
        <w:rPr>
          <w:rFonts w:ascii="Noto Serif" w:eastAsia="Noto Serif" w:hAnsi="Noto Serif" w:cs="Noto Serif"/>
          <w:color w:val="434343"/>
          <w:sz w:val="24"/>
          <w:szCs w:val="24"/>
        </w:rPr>
        <w:t>telemental</w:t>
      </w:r>
      <w:proofErr w:type="spellEnd"/>
      <w:r w:rsidRPr="00396EBC">
        <w:rPr>
          <w:rFonts w:ascii="Noto Serif" w:eastAsia="Noto Serif" w:hAnsi="Noto Serif" w:cs="Noto Serif"/>
          <w:color w:val="434343"/>
          <w:sz w:val="24"/>
          <w:szCs w:val="24"/>
        </w:rPr>
        <w:t xml:space="preserve"> health, however, you also have a role to play in maintaining your security. Please use reasonable security protocols to protect the privacy of your own health care information. For example: when communicating with your provider, use devices and service accounts that are protected by unique passwords that only you know. Also, use the secure tools that your provider has supplied for communications. </w:t>
      </w:r>
    </w:p>
    <w:p w14:paraId="7301F086" w14:textId="77777777" w:rsidR="00396EBC" w:rsidRPr="00396EBC" w:rsidRDefault="00396EBC" w:rsidP="00396EBC">
      <w:pPr>
        <w:keepNext/>
        <w:keepLines/>
        <w:spacing w:before="320" w:after="80"/>
        <w:contextualSpacing w:val="0"/>
        <w:outlineLvl w:val="2"/>
        <w:rPr>
          <w:rFonts w:ascii="Montserrat" w:eastAsia="Montserrat" w:hAnsi="Montserrat" w:cs="Montserrat"/>
          <w:b/>
          <w:color w:val="8FC855"/>
          <w:sz w:val="32"/>
          <w:szCs w:val="32"/>
        </w:rPr>
      </w:pPr>
      <w:bookmarkStart w:id="10" w:name="_e8d985qblfrc" w:colFirst="0" w:colLast="0"/>
      <w:bookmarkEnd w:id="10"/>
      <w:r w:rsidRPr="00396EBC">
        <w:rPr>
          <w:rFonts w:ascii="Montserrat" w:eastAsia="Montserrat" w:hAnsi="Montserrat" w:cs="Montserrat"/>
          <w:b/>
          <w:color w:val="8FC855"/>
          <w:sz w:val="32"/>
          <w:szCs w:val="32"/>
        </w:rPr>
        <w:t>Recordings</w:t>
      </w:r>
    </w:p>
    <w:p w14:paraId="2C752976" w14:textId="77777777" w:rsidR="00396EBC" w:rsidRPr="00396EBC" w:rsidRDefault="00396EBC" w:rsidP="00396EBC">
      <w:pPr>
        <w:contextualSpacing w:val="0"/>
        <w:rPr>
          <w:rFonts w:ascii="Noto Serif" w:eastAsia="Noto Serif" w:hAnsi="Noto Serif" w:cs="Noto Serif"/>
          <w:color w:val="3D85C6"/>
          <w:sz w:val="24"/>
          <w:szCs w:val="24"/>
        </w:rPr>
      </w:pPr>
      <w:r w:rsidRPr="00396EBC">
        <w:rPr>
          <w:rFonts w:ascii="Noto Serif" w:eastAsia="Noto Serif" w:hAnsi="Noto Serif" w:cs="Noto Serif"/>
          <w:color w:val="434343"/>
          <w:sz w:val="24"/>
          <w:szCs w:val="24"/>
        </w:rPr>
        <w:t>Please do not record video or audio sessions without your provider’s consent. Making recordings can quickly and easily compromise your privacy, and should be done so with great care. Your provider will not record video or audio sessions.</w:t>
      </w:r>
    </w:p>
    <w:p w14:paraId="25C4532F" w14:textId="77777777" w:rsidR="00396EBC" w:rsidRPr="00396EBC" w:rsidRDefault="00396EBC" w:rsidP="00396EBC">
      <w:pPr>
        <w:contextualSpacing w:val="0"/>
        <w:rPr>
          <w:rFonts w:ascii="Noto Serif" w:eastAsia="Noto Serif" w:hAnsi="Noto Serif" w:cs="Noto Serif"/>
          <w:color w:val="3D85C6"/>
          <w:sz w:val="24"/>
          <w:szCs w:val="24"/>
        </w:rPr>
      </w:pPr>
    </w:p>
    <w:p w14:paraId="77B7F834" w14:textId="77777777" w:rsidR="00396EBC" w:rsidRPr="00396EBC" w:rsidRDefault="00396EBC" w:rsidP="00396EBC">
      <w:pPr>
        <w:contextualSpacing w:val="0"/>
        <w:rPr>
          <w:rFonts w:ascii="Noto Serif" w:eastAsia="Noto Serif" w:hAnsi="Noto Serif" w:cs="Noto Serif"/>
          <w:color w:val="3D85C6"/>
          <w:sz w:val="24"/>
          <w:szCs w:val="24"/>
        </w:rPr>
      </w:pPr>
      <w:r w:rsidRPr="00396EBC">
        <w:rPr>
          <w:rFonts w:ascii="Noto Serif" w:eastAsia="Noto Serif" w:hAnsi="Noto Serif" w:cs="Noto Serif"/>
          <w:color w:val="3D85C6"/>
          <w:sz w:val="24"/>
          <w:szCs w:val="24"/>
        </w:rPr>
        <w:t>By signing this form, I certify:</w:t>
      </w:r>
    </w:p>
    <w:p w14:paraId="67B9E3B1" w14:textId="77777777" w:rsidR="00396EBC" w:rsidRPr="00396EBC" w:rsidRDefault="00396EBC" w:rsidP="00396EBC">
      <w:pPr>
        <w:contextualSpacing w:val="0"/>
        <w:rPr>
          <w:rFonts w:ascii="Noto Serif" w:eastAsia="Noto Serif" w:hAnsi="Noto Serif" w:cs="Noto Serif"/>
          <w:color w:val="3D85C6"/>
          <w:sz w:val="24"/>
          <w:szCs w:val="24"/>
        </w:rPr>
      </w:pPr>
    </w:p>
    <w:p w14:paraId="6160E06E" w14:textId="77777777" w:rsidR="00396EBC" w:rsidRPr="00396EBC" w:rsidRDefault="00396EBC" w:rsidP="00396EBC">
      <w:pPr>
        <w:contextualSpacing w:val="0"/>
        <w:rPr>
          <w:rFonts w:ascii="Noto Serif" w:eastAsia="Noto Serif" w:hAnsi="Noto Serif" w:cs="Noto Serif"/>
          <w:color w:val="3D85C6"/>
          <w:sz w:val="24"/>
          <w:szCs w:val="24"/>
        </w:rPr>
      </w:pPr>
      <w:r w:rsidRPr="00396EBC">
        <w:rPr>
          <w:rFonts w:ascii="Noto Serif" w:eastAsia="Noto Serif" w:hAnsi="Noto Serif" w:cs="Noto Serif"/>
          <w:color w:val="3D85C6"/>
          <w:sz w:val="24"/>
          <w:szCs w:val="24"/>
        </w:rPr>
        <w:t>That I have read or had this form read and/or had this form explained to me.</w:t>
      </w:r>
    </w:p>
    <w:p w14:paraId="5C8EC1B6" w14:textId="77777777" w:rsidR="00396EBC" w:rsidRPr="00396EBC" w:rsidRDefault="00396EBC" w:rsidP="00396EBC">
      <w:pPr>
        <w:contextualSpacing w:val="0"/>
        <w:rPr>
          <w:rFonts w:ascii="Noto Serif" w:eastAsia="Noto Serif" w:hAnsi="Noto Serif" w:cs="Noto Serif"/>
          <w:color w:val="3D85C6"/>
          <w:sz w:val="24"/>
          <w:szCs w:val="24"/>
        </w:rPr>
      </w:pPr>
    </w:p>
    <w:p w14:paraId="6BAA5694" w14:textId="77777777" w:rsidR="00396EBC" w:rsidRPr="00396EBC" w:rsidRDefault="00396EBC" w:rsidP="00396EBC">
      <w:pPr>
        <w:contextualSpacing w:val="0"/>
        <w:rPr>
          <w:rFonts w:ascii="Noto Serif" w:eastAsia="Noto Serif" w:hAnsi="Noto Serif" w:cs="Noto Serif"/>
          <w:color w:val="3D85C6"/>
          <w:sz w:val="24"/>
          <w:szCs w:val="24"/>
        </w:rPr>
      </w:pPr>
      <w:r w:rsidRPr="00396EBC">
        <w:rPr>
          <w:rFonts w:ascii="Noto Serif" w:eastAsia="Noto Serif" w:hAnsi="Noto Serif" w:cs="Noto Serif"/>
          <w:color w:val="3D85C6"/>
          <w:sz w:val="24"/>
          <w:szCs w:val="24"/>
        </w:rPr>
        <w:t>That I fully understand its contents including the risks and benefits of the procedure(s).</w:t>
      </w:r>
    </w:p>
    <w:p w14:paraId="00C86873" w14:textId="77777777" w:rsidR="00396EBC" w:rsidRPr="00396EBC" w:rsidRDefault="00396EBC" w:rsidP="00396EBC">
      <w:pPr>
        <w:contextualSpacing w:val="0"/>
        <w:rPr>
          <w:rFonts w:ascii="Noto Serif" w:eastAsia="Noto Serif" w:hAnsi="Noto Serif" w:cs="Noto Serif"/>
          <w:color w:val="3D85C6"/>
          <w:sz w:val="24"/>
          <w:szCs w:val="24"/>
        </w:rPr>
      </w:pPr>
    </w:p>
    <w:p w14:paraId="235BC0D9" w14:textId="77777777" w:rsidR="00396EBC" w:rsidRPr="00396EBC" w:rsidRDefault="00396EBC" w:rsidP="00396EBC">
      <w:pPr>
        <w:contextualSpacing w:val="0"/>
        <w:rPr>
          <w:rFonts w:ascii="Noto Serif" w:eastAsia="Noto Serif" w:hAnsi="Noto Serif" w:cs="Noto Serif"/>
          <w:color w:val="3D85C6"/>
          <w:sz w:val="24"/>
          <w:szCs w:val="24"/>
        </w:rPr>
      </w:pPr>
      <w:r w:rsidRPr="00396EBC">
        <w:rPr>
          <w:rFonts w:ascii="Noto Serif" w:eastAsia="Noto Serif" w:hAnsi="Noto Serif" w:cs="Noto Serif"/>
          <w:color w:val="3D85C6"/>
          <w:sz w:val="24"/>
          <w:szCs w:val="24"/>
        </w:rPr>
        <w:t>That I have been given ample opportunity to ask questions and that any questions have been answered to my satisfaction.</w:t>
      </w:r>
    </w:p>
    <w:p w14:paraId="1201F9BC" w14:textId="77777777" w:rsidR="00396EBC" w:rsidRPr="00396EBC" w:rsidRDefault="00396EBC" w:rsidP="00396EBC">
      <w:pPr>
        <w:contextualSpacing w:val="0"/>
        <w:rPr>
          <w:rFonts w:ascii="Noto Serif" w:eastAsia="Noto Serif" w:hAnsi="Noto Serif" w:cs="Noto Serif"/>
          <w:color w:val="3D85C6"/>
          <w:sz w:val="24"/>
          <w:szCs w:val="24"/>
        </w:rPr>
      </w:pPr>
    </w:p>
    <w:p w14:paraId="64CD152A" w14:textId="77777777" w:rsidR="00396EBC" w:rsidRDefault="00396EBC" w:rsidP="00396EBC">
      <w:pPr>
        <w:contextualSpacing w:val="0"/>
        <w:rPr>
          <w:rFonts w:ascii="Noto Serif" w:eastAsia="Noto Serif" w:hAnsi="Noto Serif" w:cs="Noto Serif"/>
          <w:color w:val="3D85C6"/>
          <w:sz w:val="24"/>
          <w:szCs w:val="24"/>
        </w:rPr>
      </w:pPr>
      <w:r w:rsidRPr="00396EBC">
        <w:rPr>
          <w:rFonts w:ascii="Noto Serif" w:eastAsia="Noto Serif" w:hAnsi="Noto Serif" w:cs="Noto Serif"/>
          <w:color w:val="3D85C6"/>
          <w:sz w:val="24"/>
          <w:szCs w:val="24"/>
        </w:rPr>
        <w:t>BY SIGNING BELOW I AM AGREEING THAT I HAVE READ, UNDERSTOOD AND AGREE TO THE ITE</w:t>
      </w:r>
      <w:r>
        <w:rPr>
          <w:rFonts w:ascii="Noto Serif" w:eastAsia="Noto Serif" w:hAnsi="Noto Serif" w:cs="Noto Serif"/>
          <w:color w:val="3D85C6"/>
          <w:sz w:val="24"/>
          <w:szCs w:val="24"/>
        </w:rPr>
        <w:t xml:space="preserve">MS CONTAINED IN THIS DOCUMENT. </w:t>
      </w:r>
    </w:p>
    <w:p w14:paraId="035F63DC" w14:textId="77777777" w:rsidR="00396EBC" w:rsidRDefault="00396EBC" w:rsidP="00396EBC">
      <w:pPr>
        <w:contextualSpacing w:val="0"/>
        <w:rPr>
          <w:rFonts w:ascii="Noto Serif" w:eastAsia="Noto Serif" w:hAnsi="Noto Serif" w:cs="Noto Serif"/>
          <w:color w:val="3D85C6"/>
          <w:sz w:val="24"/>
          <w:szCs w:val="24"/>
        </w:rPr>
      </w:pPr>
    </w:p>
    <w:p w14:paraId="6C527D85" w14:textId="2AB1D5AF" w:rsidR="00396EBC" w:rsidRPr="00396EBC" w:rsidRDefault="00396EBC" w:rsidP="00396EBC">
      <w:pPr>
        <w:contextualSpacing w:val="0"/>
        <w:rPr>
          <w:rFonts w:ascii="Noto Serif" w:eastAsia="Noto Serif" w:hAnsi="Noto Serif" w:cs="Noto Serif"/>
          <w:color w:val="3D85C6"/>
          <w:sz w:val="24"/>
          <w:szCs w:val="24"/>
        </w:rPr>
      </w:pPr>
      <w:r w:rsidRPr="00396EBC">
        <w:rPr>
          <w:rFonts w:ascii="Noto Serif" w:eastAsia="Noto Serif" w:hAnsi="Noto Serif" w:cs="Noto Serif"/>
          <w:color w:val="3D85C6"/>
          <w:sz w:val="24"/>
          <w:szCs w:val="24"/>
        </w:rPr>
        <w:t>X______________________________________________________ D</w:t>
      </w:r>
      <w:r>
        <w:rPr>
          <w:rFonts w:ascii="Noto Serif" w:eastAsia="Noto Serif" w:hAnsi="Noto Serif" w:cs="Noto Serif"/>
          <w:color w:val="3D85C6"/>
          <w:sz w:val="24"/>
          <w:szCs w:val="24"/>
        </w:rPr>
        <w:t>ate__________</w:t>
      </w:r>
    </w:p>
    <w:p w14:paraId="389A4AF9" w14:textId="77777777" w:rsidR="00396EBC" w:rsidRDefault="00396EBC">
      <w:pPr>
        <w:pStyle w:val="Title"/>
        <w:contextualSpacing w:val="0"/>
        <w:jc w:val="center"/>
        <w:rPr>
          <w:rFonts w:ascii="Noto Serif" w:eastAsia="Noto Serif" w:hAnsi="Noto Serif" w:cs="Noto Serif"/>
        </w:rPr>
      </w:pPr>
    </w:p>
    <w:p w14:paraId="123AFFC9" w14:textId="77777777" w:rsidR="00396EBC" w:rsidRDefault="00396EBC">
      <w:pPr>
        <w:pStyle w:val="Title"/>
        <w:contextualSpacing w:val="0"/>
        <w:jc w:val="center"/>
        <w:rPr>
          <w:rFonts w:ascii="Noto Serif" w:eastAsia="Noto Serif" w:hAnsi="Noto Serif" w:cs="Noto Serif"/>
        </w:rPr>
      </w:pPr>
    </w:p>
    <w:p w14:paraId="770A3CCD" w14:textId="77777777" w:rsidR="00396EBC" w:rsidRDefault="00396EBC">
      <w:pPr>
        <w:pStyle w:val="Title"/>
        <w:contextualSpacing w:val="0"/>
        <w:jc w:val="center"/>
        <w:rPr>
          <w:rFonts w:ascii="Noto Serif" w:eastAsia="Noto Serif" w:hAnsi="Noto Serif" w:cs="Noto Serif"/>
        </w:rPr>
      </w:pPr>
    </w:p>
    <w:p w14:paraId="2F05CC44" w14:textId="77777777" w:rsidR="00396EBC" w:rsidRDefault="00396EBC" w:rsidP="00396EBC">
      <w:pPr>
        <w:pStyle w:val="Title"/>
        <w:contextualSpacing w:val="0"/>
        <w:rPr>
          <w:rFonts w:ascii="Noto Serif" w:eastAsia="Noto Serif" w:hAnsi="Noto Serif" w:cs="Noto Serif"/>
        </w:rPr>
      </w:pPr>
    </w:p>
    <w:p w14:paraId="45C886E9" w14:textId="0C7A14DD" w:rsidR="00AE1C28" w:rsidRPr="007D42CF" w:rsidRDefault="00396EBC" w:rsidP="00396EBC">
      <w:pPr>
        <w:pStyle w:val="Title"/>
        <w:contextualSpacing w:val="0"/>
        <w:rPr>
          <w:rFonts w:ascii="Noto Serif" w:eastAsia="Noto Serif" w:hAnsi="Noto Serif" w:cs="Noto Serif"/>
        </w:rPr>
      </w:pPr>
      <w:r>
        <w:rPr>
          <w:rFonts w:ascii="Noto Serif" w:eastAsia="Noto Serif" w:hAnsi="Noto Serif" w:cs="Noto Serif"/>
        </w:rPr>
        <w:t xml:space="preserve">        </w:t>
      </w:r>
      <w:r w:rsidR="001E430E" w:rsidRPr="007D42CF">
        <w:rPr>
          <w:rFonts w:ascii="Noto Serif" w:eastAsia="Noto Serif" w:hAnsi="Noto Serif" w:cs="Noto Serif"/>
        </w:rPr>
        <w:t xml:space="preserve">Oak Brook Counseling &amp; Wellness </w:t>
      </w:r>
    </w:p>
    <w:p w14:paraId="38EC8524" w14:textId="77777777" w:rsidR="001E430E" w:rsidRPr="007D42CF" w:rsidRDefault="001E430E" w:rsidP="001E430E">
      <w:pPr>
        <w:jc w:val="center"/>
      </w:pPr>
      <w:r w:rsidRPr="007D42CF">
        <w:t>Oakbrookwellness.com ~ 630.710.5729</w:t>
      </w:r>
    </w:p>
    <w:p w14:paraId="64BC9084" w14:textId="77777777" w:rsidR="001E430E" w:rsidRPr="007D42CF" w:rsidRDefault="001E430E" w:rsidP="001E430E">
      <w:pPr>
        <w:jc w:val="center"/>
      </w:pPr>
      <w:r w:rsidRPr="007D42CF">
        <w:t>1010 Jorie Blvd. Suite 112/246</w:t>
      </w:r>
    </w:p>
    <w:p w14:paraId="3100FB02" w14:textId="77777777" w:rsidR="001E430E" w:rsidRPr="007D42CF" w:rsidRDefault="001E430E" w:rsidP="001E430E">
      <w:pPr>
        <w:jc w:val="center"/>
      </w:pPr>
      <w:r w:rsidRPr="007D42CF">
        <w:t>Oak Brook, IL 60523</w:t>
      </w:r>
    </w:p>
    <w:p w14:paraId="0DAA5A84" w14:textId="0CE25B59" w:rsidR="00AE1C28" w:rsidRPr="007D42CF" w:rsidRDefault="00E846CA" w:rsidP="007D42CF">
      <w:pPr>
        <w:pStyle w:val="Title"/>
        <w:contextualSpacing w:val="0"/>
        <w:jc w:val="center"/>
        <w:rPr>
          <w:rFonts w:ascii="Noto Serif" w:eastAsia="Noto Serif" w:hAnsi="Noto Serif" w:cs="Noto Serif"/>
        </w:rPr>
      </w:pPr>
      <w:bookmarkStart w:id="11" w:name="_w1jbdgrsweft"/>
      <w:bookmarkEnd w:id="11"/>
      <w:r w:rsidRPr="007D42CF">
        <w:rPr>
          <w:rFonts w:ascii="Noto Serif" w:eastAsia="Noto Serif" w:hAnsi="Noto Serif" w:cs="Noto Serif"/>
        </w:rPr>
        <w:t>Recovery and Client Safety Plan</w:t>
      </w:r>
    </w:p>
    <w:p w14:paraId="6C141581" w14:textId="113F248F" w:rsidR="00AE1C28" w:rsidRPr="007D42CF" w:rsidRDefault="0009154C">
      <w:pPr>
        <w:spacing w:line="240" w:lineRule="auto"/>
        <w:contextualSpacing w:val="0"/>
        <w:rPr>
          <w:rFonts w:ascii="Noto Serif" w:eastAsia="Noto Serif" w:hAnsi="Noto Serif" w:cs="Noto Serif"/>
        </w:rPr>
      </w:pPr>
      <w:r>
        <w:rPr>
          <w:rFonts w:ascii="Noto Serif" w:eastAsia="Noto Serif" w:hAnsi="Noto Serif" w:cs="Noto Serif"/>
        </w:rPr>
        <w:t>Client Name ____________________________________________________</w:t>
      </w:r>
      <w:proofErr w:type="gramStart"/>
      <w:r>
        <w:rPr>
          <w:rFonts w:ascii="Noto Serif" w:eastAsia="Noto Serif" w:hAnsi="Noto Serif" w:cs="Noto Serif"/>
        </w:rPr>
        <w:t>_  Date</w:t>
      </w:r>
      <w:proofErr w:type="gramEnd"/>
      <w:r>
        <w:rPr>
          <w:rFonts w:ascii="Noto Serif" w:eastAsia="Noto Serif" w:hAnsi="Noto Serif" w:cs="Noto Serif"/>
        </w:rPr>
        <w:t xml:space="preserve"> of Service ______</w:t>
      </w:r>
    </w:p>
    <w:p w14:paraId="5989DCD0" w14:textId="77777777" w:rsidR="00AE1C28" w:rsidRPr="007D42CF" w:rsidRDefault="00DB7352">
      <w:pPr>
        <w:spacing w:line="240" w:lineRule="auto"/>
        <w:contextualSpacing w:val="0"/>
        <w:rPr>
          <w:rFonts w:ascii="Noto Serif" w:eastAsia="Noto Serif" w:hAnsi="Noto Serif" w:cs="Noto Serif"/>
        </w:rPr>
      </w:pPr>
      <w:r>
        <w:pict w14:anchorId="11DEE60B">
          <v:rect id="_x0000_i1025" style="width:0;height:1.5pt" o:hralign="center" o:hrstd="t" o:hr="t" fillcolor="#a0a0a0" stroked="f"/>
        </w:pict>
      </w:r>
    </w:p>
    <w:p w14:paraId="18E90795" w14:textId="77777777" w:rsidR="00AE1C28" w:rsidRPr="007D42CF" w:rsidRDefault="00E846CA">
      <w:pPr>
        <w:pStyle w:val="Heading2"/>
        <w:contextualSpacing w:val="0"/>
        <w:rPr>
          <w:rFonts w:ascii="Noto Serif" w:eastAsia="Noto Serif" w:hAnsi="Noto Serif" w:cs="Noto Serif"/>
          <w:b/>
        </w:rPr>
      </w:pPr>
      <w:bookmarkStart w:id="12" w:name="_d919oi49yrrn" w:colFirst="0" w:colLast="0"/>
      <w:bookmarkEnd w:id="12"/>
      <w:r w:rsidRPr="007D42CF">
        <w:rPr>
          <w:rFonts w:ascii="Noto Serif" w:eastAsia="Noto Serif" w:hAnsi="Noto Serif" w:cs="Noto Serif"/>
          <w:b/>
        </w:rPr>
        <w:t>Your emergency contact (required):</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320"/>
      </w:tblGrid>
      <w:tr w:rsidR="007D42CF" w:rsidRPr="007D42CF" w14:paraId="6B7426A1" w14:textId="77777777">
        <w:tc>
          <w:tcPr>
            <w:tcW w:w="2040" w:type="dxa"/>
            <w:shd w:val="clear" w:color="auto" w:fill="auto"/>
            <w:tcMar>
              <w:top w:w="100" w:type="dxa"/>
              <w:left w:w="100" w:type="dxa"/>
              <w:bottom w:w="100" w:type="dxa"/>
              <w:right w:w="100" w:type="dxa"/>
            </w:tcMar>
          </w:tcPr>
          <w:p w14:paraId="3ED4A7CF"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Name:</w:t>
            </w:r>
          </w:p>
        </w:tc>
        <w:tc>
          <w:tcPr>
            <w:tcW w:w="7320" w:type="dxa"/>
            <w:shd w:val="clear" w:color="auto" w:fill="auto"/>
            <w:tcMar>
              <w:top w:w="100" w:type="dxa"/>
              <w:left w:w="100" w:type="dxa"/>
              <w:bottom w:w="100" w:type="dxa"/>
              <w:right w:w="100" w:type="dxa"/>
            </w:tcMar>
          </w:tcPr>
          <w:p w14:paraId="7F369161"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sz w:val="24"/>
                <w:szCs w:val="24"/>
              </w:rPr>
            </w:pPr>
          </w:p>
        </w:tc>
      </w:tr>
      <w:tr w:rsidR="007D42CF" w:rsidRPr="007D42CF" w14:paraId="2D3A58E5" w14:textId="77777777">
        <w:tc>
          <w:tcPr>
            <w:tcW w:w="2040" w:type="dxa"/>
            <w:shd w:val="clear" w:color="auto" w:fill="auto"/>
            <w:tcMar>
              <w:top w:w="100" w:type="dxa"/>
              <w:left w:w="100" w:type="dxa"/>
              <w:bottom w:w="100" w:type="dxa"/>
              <w:right w:w="100" w:type="dxa"/>
            </w:tcMar>
          </w:tcPr>
          <w:p w14:paraId="61FADA02"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Relationship:</w:t>
            </w:r>
          </w:p>
        </w:tc>
        <w:tc>
          <w:tcPr>
            <w:tcW w:w="7320" w:type="dxa"/>
            <w:shd w:val="clear" w:color="auto" w:fill="auto"/>
            <w:tcMar>
              <w:top w:w="100" w:type="dxa"/>
              <w:left w:w="100" w:type="dxa"/>
              <w:bottom w:w="100" w:type="dxa"/>
              <w:right w:w="100" w:type="dxa"/>
            </w:tcMar>
          </w:tcPr>
          <w:p w14:paraId="6F8A71BD"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sz w:val="24"/>
                <w:szCs w:val="24"/>
              </w:rPr>
            </w:pPr>
          </w:p>
        </w:tc>
      </w:tr>
      <w:tr w:rsidR="007D42CF" w:rsidRPr="007D42CF" w14:paraId="5C3073D7" w14:textId="77777777">
        <w:trPr>
          <w:trHeight w:val="520"/>
        </w:trPr>
        <w:tc>
          <w:tcPr>
            <w:tcW w:w="2040" w:type="dxa"/>
            <w:shd w:val="clear" w:color="auto" w:fill="auto"/>
            <w:tcMar>
              <w:top w:w="100" w:type="dxa"/>
              <w:left w:w="100" w:type="dxa"/>
              <w:bottom w:w="100" w:type="dxa"/>
              <w:right w:w="100" w:type="dxa"/>
            </w:tcMar>
          </w:tcPr>
          <w:p w14:paraId="32711F23"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Phone #:</w:t>
            </w:r>
          </w:p>
        </w:tc>
        <w:tc>
          <w:tcPr>
            <w:tcW w:w="7320" w:type="dxa"/>
            <w:shd w:val="clear" w:color="auto" w:fill="auto"/>
            <w:tcMar>
              <w:top w:w="100" w:type="dxa"/>
              <w:left w:w="100" w:type="dxa"/>
              <w:bottom w:w="100" w:type="dxa"/>
              <w:right w:w="100" w:type="dxa"/>
            </w:tcMar>
          </w:tcPr>
          <w:p w14:paraId="38C4424E"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sz w:val="24"/>
                <w:szCs w:val="24"/>
              </w:rPr>
            </w:pPr>
          </w:p>
        </w:tc>
      </w:tr>
      <w:tr w:rsidR="007D42CF" w:rsidRPr="007D42CF" w14:paraId="1846EBFF" w14:textId="77777777">
        <w:tc>
          <w:tcPr>
            <w:tcW w:w="2040" w:type="dxa"/>
            <w:shd w:val="clear" w:color="auto" w:fill="auto"/>
            <w:tcMar>
              <w:top w:w="100" w:type="dxa"/>
              <w:left w:w="100" w:type="dxa"/>
              <w:bottom w:w="100" w:type="dxa"/>
              <w:right w:w="100" w:type="dxa"/>
            </w:tcMar>
          </w:tcPr>
          <w:p w14:paraId="49D8E036"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Contact Address:</w:t>
            </w:r>
          </w:p>
          <w:p w14:paraId="201E610B"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sz w:val="24"/>
                <w:szCs w:val="24"/>
              </w:rPr>
            </w:pPr>
          </w:p>
        </w:tc>
        <w:tc>
          <w:tcPr>
            <w:tcW w:w="7320" w:type="dxa"/>
            <w:shd w:val="clear" w:color="auto" w:fill="auto"/>
            <w:tcMar>
              <w:top w:w="100" w:type="dxa"/>
              <w:left w:w="100" w:type="dxa"/>
              <w:bottom w:w="100" w:type="dxa"/>
              <w:right w:w="100" w:type="dxa"/>
            </w:tcMar>
          </w:tcPr>
          <w:p w14:paraId="487DAC47"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sz w:val="24"/>
                <w:szCs w:val="24"/>
              </w:rPr>
            </w:pPr>
          </w:p>
        </w:tc>
      </w:tr>
    </w:tbl>
    <w:p w14:paraId="73D8650F" w14:textId="77777777" w:rsidR="00AE1C28" w:rsidRPr="007D42CF" w:rsidRDefault="00AE1C28">
      <w:pPr>
        <w:contextualSpacing w:val="0"/>
        <w:rPr>
          <w:rFonts w:ascii="Noto Serif" w:eastAsia="Noto Serif" w:hAnsi="Noto Serif" w:cs="Noto Serif"/>
        </w:rPr>
      </w:pPr>
    </w:p>
    <w:p w14:paraId="4FA9DEF8" w14:textId="77777777" w:rsidR="001C0AD0" w:rsidRPr="007D42CF" w:rsidRDefault="001C0AD0">
      <w:pPr>
        <w:contextualSpacing w:val="0"/>
        <w:rPr>
          <w:rFonts w:ascii="Noto Serif" w:eastAsia="Noto Serif" w:hAnsi="Noto Serif" w:cs="Noto Serif"/>
        </w:rPr>
      </w:pPr>
    </w:p>
    <w:p w14:paraId="42DBA6F0" w14:textId="77777777" w:rsidR="00AE1C28" w:rsidRPr="007D42CF" w:rsidRDefault="00AE1C28">
      <w:pPr>
        <w:contextualSpacing w:val="0"/>
        <w:rPr>
          <w:rFonts w:ascii="Noto Serif" w:eastAsia="Noto Serif" w:hAnsi="Noto Serif" w:cs="Noto Serif"/>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D42CF" w:rsidRPr="007D42CF" w14:paraId="3A12E0E6" w14:textId="77777777">
        <w:tc>
          <w:tcPr>
            <w:tcW w:w="936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7FA00CAA"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You give your provider permission to contact your emergency contact regarding your health care in an emergency: ________  (client initials)</w:t>
            </w:r>
          </w:p>
        </w:tc>
      </w:tr>
    </w:tbl>
    <w:p w14:paraId="014ABD3D" w14:textId="77777777" w:rsidR="00AE1C28" w:rsidRPr="007D42CF" w:rsidRDefault="00E846CA">
      <w:pPr>
        <w:pStyle w:val="Heading3"/>
        <w:contextualSpacing w:val="0"/>
        <w:rPr>
          <w:color w:val="auto"/>
        </w:rPr>
      </w:pPr>
      <w:bookmarkStart w:id="13" w:name="_bryaysgk9c91" w:colFirst="0" w:colLast="0"/>
      <w:bookmarkEnd w:id="13"/>
      <w:r w:rsidRPr="007D42CF">
        <w:rPr>
          <w:color w:val="auto"/>
        </w:rPr>
        <w:t>Technological Emergencies:</w:t>
      </w:r>
    </w:p>
    <w:p w14:paraId="2B4A6CEE"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 xml:space="preserve">If we experience a technical failure during a session or other interaction, </w:t>
      </w:r>
      <w:r w:rsidRPr="007D42CF">
        <w:rPr>
          <w:rFonts w:ascii="Noto Serif" w:eastAsia="Noto Serif" w:hAnsi="Noto Serif" w:cs="Noto Serif"/>
          <w:b/>
          <w:sz w:val="24"/>
          <w:szCs w:val="24"/>
        </w:rPr>
        <w:t>I will always attempt to reconnect with you</w:t>
      </w:r>
      <w:r w:rsidRPr="007D42CF">
        <w:rPr>
          <w:rFonts w:ascii="Noto Serif" w:eastAsia="Noto Serif" w:hAnsi="Noto Serif" w:cs="Noto Serif"/>
          <w:sz w:val="24"/>
          <w:szCs w:val="24"/>
        </w:rPr>
        <w:t>, even if it seemed we were about to finish our interaction</w:t>
      </w:r>
      <w:r w:rsidRPr="007D42CF">
        <w:rPr>
          <w:rFonts w:ascii="Noto Serif" w:eastAsia="Noto Serif" w:hAnsi="Noto Serif" w:cs="Noto Serif"/>
          <w:b/>
          <w:sz w:val="24"/>
          <w:szCs w:val="24"/>
        </w:rPr>
        <w:t>.</w:t>
      </w:r>
      <w:r w:rsidRPr="007D42CF">
        <w:rPr>
          <w:rFonts w:ascii="Noto Serif" w:eastAsia="Noto Serif" w:hAnsi="Noto Serif" w:cs="Noto Serif"/>
          <w:sz w:val="24"/>
          <w:szCs w:val="24"/>
        </w:rPr>
        <w:t xml:space="preserve"> </w:t>
      </w:r>
    </w:p>
    <w:p w14:paraId="6141C0E6" w14:textId="77777777" w:rsidR="00AE1C28" w:rsidRPr="007D42CF" w:rsidRDefault="00AE1C28">
      <w:pPr>
        <w:contextualSpacing w:val="0"/>
        <w:rPr>
          <w:rFonts w:ascii="Noto Serif" w:eastAsia="Noto Serif" w:hAnsi="Noto Serif" w:cs="Noto Serif"/>
          <w:sz w:val="24"/>
          <w:szCs w:val="24"/>
        </w:rPr>
      </w:pPr>
    </w:p>
    <w:p w14:paraId="3292261D" w14:textId="77777777" w:rsidR="00AE1C28" w:rsidRPr="007D42CF" w:rsidRDefault="00E846CA">
      <w:pPr>
        <w:contextualSpacing w:val="0"/>
        <w:rPr>
          <w:rFonts w:ascii="Noto Serif" w:eastAsia="Noto Serif" w:hAnsi="Noto Serif" w:cs="Noto Serif"/>
          <w:b/>
          <w:sz w:val="24"/>
          <w:szCs w:val="24"/>
        </w:rPr>
      </w:pPr>
      <w:r w:rsidRPr="007D42CF">
        <w:rPr>
          <w:rFonts w:ascii="Noto Serif" w:eastAsia="Noto Serif" w:hAnsi="Noto Serif" w:cs="Noto Serif"/>
          <w:b/>
          <w:sz w:val="24"/>
          <w:szCs w:val="24"/>
        </w:rPr>
        <w:lastRenderedPageBreak/>
        <w:t>Our backup communication method is:</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42CF" w:rsidRPr="007D42CF" w14:paraId="1BA6E5B2" w14:textId="77777777">
        <w:tc>
          <w:tcPr>
            <w:tcW w:w="4680" w:type="dxa"/>
            <w:shd w:val="clear" w:color="auto" w:fill="auto"/>
            <w:tcMar>
              <w:top w:w="100" w:type="dxa"/>
              <w:left w:w="100" w:type="dxa"/>
              <w:bottom w:w="100" w:type="dxa"/>
              <w:right w:w="100" w:type="dxa"/>
            </w:tcMar>
          </w:tcPr>
          <w:p w14:paraId="2BCCED92" w14:textId="77777777" w:rsidR="00AE1C28" w:rsidRPr="007D42CF" w:rsidRDefault="00E846CA">
            <w:pPr>
              <w:widowControl w:val="0"/>
              <w:pBdr>
                <w:top w:val="nil"/>
                <w:left w:val="nil"/>
                <w:bottom w:val="nil"/>
                <w:right w:val="nil"/>
                <w:between w:val="nil"/>
              </w:pBdr>
              <w:spacing w:line="240" w:lineRule="auto"/>
              <w:contextualSpacing w:val="0"/>
              <w:rPr>
                <w:rFonts w:ascii="Noto Serif" w:eastAsia="Noto Serif" w:hAnsi="Noto Serif" w:cs="Noto Serif"/>
                <w:sz w:val="24"/>
                <w:szCs w:val="24"/>
              </w:rPr>
            </w:pPr>
            <w:r w:rsidRPr="007D42CF">
              <w:rPr>
                <w:rFonts w:ascii="Noto Serif" w:eastAsia="Noto Serif" w:hAnsi="Noto Serif" w:cs="Noto Serif"/>
                <w:sz w:val="24"/>
                <w:szCs w:val="24"/>
              </w:rPr>
              <w:t>Method:</w:t>
            </w:r>
          </w:p>
        </w:tc>
        <w:tc>
          <w:tcPr>
            <w:tcW w:w="4680" w:type="dxa"/>
            <w:shd w:val="clear" w:color="auto" w:fill="auto"/>
            <w:tcMar>
              <w:top w:w="100" w:type="dxa"/>
              <w:left w:w="100" w:type="dxa"/>
              <w:bottom w:w="100" w:type="dxa"/>
              <w:right w:w="100" w:type="dxa"/>
            </w:tcMar>
          </w:tcPr>
          <w:p w14:paraId="6FC2B501" w14:textId="77777777" w:rsidR="00AE1C28" w:rsidRPr="007D42CF" w:rsidRDefault="001E430E">
            <w:pPr>
              <w:contextualSpacing w:val="0"/>
              <w:rPr>
                <w:rFonts w:ascii="Noto Serif" w:eastAsia="Noto Serif" w:hAnsi="Noto Serif" w:cs="Noto Serif"/>
                <w:sz w:val="24"/>
                <w:szCs w:val="24"/>
              </w:rPr>
            </w:pPr>
            <w:r w:rsidRPr="007D42CF">
              <w:rPr>
                <w:rFonts w:ascii="Noto Serif" w:eastAsia="Noto Serif" w:hAnsi="Noto Serif" w:cs="Noto Serif"/>
              </w:rPr>
              <w:t>Telephone/text</w:t>
            </w:r>
          </w:p>
        </w:tc>
      </w:tr>
      <w:tr w:rsidR="007D42CF" w:rsidRPr="007D42CF" w14:paraId="67FE9780" w14:textId="77777777">
        <w:tc>
          <w:tcPr>
            <w:tcW w:w="4680" w:type="dxa"/>
            <w:shd w:val="clear" w:color="auto" w:fill="auto"/>
            <w:tcMar>
              <w:top w:w="100" w:type="dxa"/>
              <w:left w:w="100" w:type="dxa"/>
              <w:bottom w:w="100" w:type="dxa"/>
              <w:right w:w="100" w:type="dxa"/>
            </w:tcMar>
          </w:tcPr>
          <w:p w14:paraId="6CC69ABA" w14:textId="77777777" w:rsidR="00AE1C28" w:rsidRPr="007D42CF" w:rsidRDefault="00E846CA">
            <w:pPr>
              <w:widowControl w:val="0"/>
              <w:pBdr>
                <w:top w:val="nil"/>
                <w:left w:val="nil"/>
                <w:bottom w:val="nil"/>
                <w:right w:val="nil"/>
                <w:between w:val="nil"/>
              </w:pBdr>
              <w:spacing w:line="240" w:lineRule="auto"/>
              <w:contextualSpacing w:val="0"/>
              <w:rPr>
                <w:rFonts w:ascii="Noto Serif" w:eastAsia="Noto Serif" w:hAnsi="Noto Serif" w:cs="Noto Serif"/>
                <w:sz w:val="24"/>
                <w:szCs w:val="24"/>
              </w:rPr>
            </w:pPr>
            <w:r w:rsidRPr="007D42CF">
              <w:rPr>
                <w:rFonts w:ascii="Noto Serif" w:eastAsia="Noto Serif" w:hAnsi="Noto Serif" w:cs="Noto Serif"/>
                <w:sz w:val="24"/>
                <w:szCs w:val="24"/>
              </w:rPr>
              <w:t>Provider’s number/address:</w:t>
            </w:r>
          </w:p>
        </w:tc>
        <w:tc>
          <w:tcPr>
            <w:tcW w:w="4680" w:type="dxa"/>
            <w:shd w:val="clear" w:color="auto" w:fill="auto"/>
            <w:tcMar>
              <w:top w:w="100" w:type="dxa"/>
              <w:left w:w="100" w:type="dxa"/>
              <w:bottom w:w="100" w:type="dxa"/>
              <w:right w:w="100" w:type="dxa"/>
            </w:tcMar>
          </w:tcPr>
          <w:p w14:paraId="1A2AD333" w14:textId="0A9608F1" w:rsidR="00AE1C28" w:rsidRPr="007D42CF" w:rsidRDefault="00AE1C28">
            <w:pPr>
              <w:contextualSpacing w:val="0"/>
              <w:rPr>
                <w:rFonts w:ascii="Noto Serif" w:eastAsia="Noto Serif" w:hAnsi="Noto Serif" w:cs="Noto Serif"/>
                <w:sz w:val="24"/>
                <w:szCs w:val="24"/>
              </w:rPr>
            </w:pPr>
          </w:p>
          <w:p w14:paraId="77F5084B" w14:textId="77777777" w:rsidR="001E430E" w:rsidRPr="007D42CF" w:rsidRDefault="001E430E">
            <w:pPr>
              <w:contextualSpacing w:val="0"/>
              <w:rPr>
                <w:rFonts w:ascii="Noto Serif" w:eastAsia="Noto Serif" w:hAnsi="Noto Serif" w:cs="Noto Serif"/>
                <w:sz w:val="24"/>
                <w:szCs w:val="24"/>
              </w:rPr>
            </w:pPr>
            <w:r w:rsidRPr="007D42CF">
              <w:rPr>
                <w:rFonts w:ascii="Noto Serif" w:eastAsia="Noto Serif" w:hAnsi="Noto Serif" w:cs="Noto Serif"/>
                <w:sz w:val="24"/>
                <w:szCs w:val="24"/>
              </w:rPr>
              <w:t xml:space="preserve">OBCW </w:t>
            </w:r>
          </w:p>
          <w:p w14:paraId="0E4C0B01" w14:textId="77777777" w:rsidR="001E430E" w:rsidRPr="007D42CF" w:rsidRDefault="001E430E">
            <w:pPr>
              <w:contextualSpacing w:val="0"/>
              <w:rPr>
                <w:rFonts w:ascii="Noto Serif" w:eastAsia="Noto Serif" w:hAnsi="Noto Serif" w:cs="Noto Serif"/>
                <w:sz w:val="24"/>
                <w:szCs w:val="24"/>
              </w:rPr>
            </w:pPr>
            <w:r w:rsidRPr="007D42CF">
              <w:rPr>
                <w:rFonts w:ascii="Noto Serif" w:eastAsia="Noto Serif" w:hAnsi="Noto Serif" w:cs="Noto Serif"/>
                <w:sz w:val="24"/>
                <w:szCs w:val="24"/>
              </w:rPr>
              <w:t>1010 Jorie Blvd. Suite 112</w:t>
            </w:r>
          </w:p>
          <w:p w14:paraId="164ECC41" w14:textId="77777777" w:rsidR="001E430E" w:rsidRPr="007D42CF" w:rsidRDefault="001E430E">
            <w:pPr>
              <w:contextualSpacing w:val="0"/>
              <w:rPr>
                <w:rFonts w:ascii="Noto Serif" w:eastAsia="Noto Serif" w:hAnsi="Noto Serif" w:cs="Noto Serif"/>
                <w:sz w:val="24"/>
                <w:szCs w:val="24"/>
              </w:rPr>
            </w:pPr>
            <w:r w:rsidRPr="007D42CF">
              <w:rPr>
                <w:rFonts w:ascii="Noto Serif" w:eastAsia="Noto Serif" w:hAnsi="Noto Serif" w:cs="Noto Serif"/>
                <w:sz w:val="24"/>
                <w:szCs w:val="24"/>
              </w:rPr>
              <w:t>Oak Brook, IL 60523</w:t>
            </w:r>
          </w:p>
        </w:tc>
      </w:tr>
      <w:tr w:rsidR="007D42CF" w:rsidRPr="007D42CF" w14:paraId="619EAFC4" w14:textId="77777777">
        <w:tc>
          <w:tcPr>
            <w:tcW w:w="4680" w:type="dxa"/>
            <w:shd w:val="clear" w:color="auto" w:fill="auto"/>
            <w:tcMar>
              <w:top w:w="100" w:type="dxa"/>
              <w:left w:w="100" w:type="dxa"/>
              <w:bottom w:w="100" w:type="dxa"/>
              <w:right w:w="100" w:type="dxa"/>
            </w:tcMar>
          </w:tcPr>
          <w:p w14:paraId="2D070B0D" w14:textId="77777777" w:rsidR="00AE1C28" w:rsidRPr="007D42CF" w:rsidRDefault="00E846CA">
            <w:pPr>
              <w:widowControl w:val="0"/>
              <w:pBdr>
                <w:top w:val="nil"/>
                <w:left w:val="nil"/>
                <w:bottom w:val="nil"/>
                <w:right w:val="nil"/>
                <w:between w:val="nil"/>
              </w:pBdr>
              <w:spacing w:line="240" w:lineRule="auto"/>
              <w:contextualSpacing w:val="0"/>
              <w:rPr>
                <w:rFonts w:ascii="Noto Serif" w:eastAsia="Noto Serif" w:hAnsi="Noto Serif" w:cs="Noto Serif"/>
                <w:sz w:val="24"/>
                <w:szCs w:val="24"/>
              </w:rPr>
            </w:pPr>
            <w:r w:rsidRPr="007D42CF">
              <w:rPr>
                <w:rFonts w:ascii="Noto Serif" w:eastAsia="Noto Serif" w:hAnsi="Noto Serif" w:cs="Noto Serif"/>
                <w:sz w:val="24"/>
                <w:szCs w:val="24"/>
              </w:rPr>
              <w:t xml:space="preserve">Client’s number/address: </w:t>
            </w:r>
          </w:p>
        </w:tc>
        <w:tc>
          <w:tcPr>
            <w:tcW w:w="4680" w:type="dxa"/>
            <w:shd w:val="clear" w:color="auto" w:fill="auto"/>
            <w:tcMar>
              <w:top w:w="100" w:type="dxa"/>
              <w:left w:w="100" w:type="dxa"/>
              <w:bottom w:w="100" w:type="dxa"/>
              <w:right w:w="100" w:type="dxa"/>
            </w:tcMar>
          </w:tcPr>
          <w:p w14:paraId="023FCDBD" w14:textId="77777777" w:rsidR="00AE1C28" w:rsidRPr="007D42CF" w:rsidRDefault="00AE1C28">
            <w:pPr>
              <w:contextualSpacing w:val="0"/>
              <w:rPr>
                <w:rFonts w:ascii="Noto Serif" w:eastAsia="Noto Serif" w:hAnsi="Noto Serif" w:cs="Noto Serif"/>
                <w:sz w:val="24"/>
                <w:szCs w:val="24"/>
              </w:rPr>
            </w:pPr>
          </w:p>
          <w:p w14:paraId="64C4813B"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sz w:val="24"/>
                <w:szCs w:val="24"/>
              </w:rPr>
            </w:pPr>
          </w:p>
        </w:tc>
      </w:tr>
      <w:tr w:rsidR="00AE1C28" w:rsidRPr="007D42CF" w14:paraId="29CFBA0A" w14:textId="77777777">
        <w:tc>
          <w:tcPr>
            <w:tcW w:w="4680" w:type="dxa"/>
            <w:shd w:val="clear" w:color="auto" w:fill="auto"/>
            <w:tcMar>
              <w:top w:w="100" w:type="dxa"/>
              <w:left w:w="100" w:type="dxa"/>
              <w:bottom w:w="100" w:type="dxa"/>
              <w:right w:w="100" w:type="dxa"/>
            </w:tcMar>
          </w:tcPr>
          <w:p w14:paraId="1FC9E24C" w14:textId="77777777" w:rsidR="00AE1C28" w:rsidRPr="007D42CF" w:rsidRDefault="00E846CA">
            <w:pPr>
              <w:widowControl w:val="0"/>
              <w:pBdr>
                <w:top w:val="nil"/>
                <w:left w:val="nil"/>
                <w:bottom w:val="nil"/>
                <w:right w:val="nil"/>
                <w:between w:val="nil"/>
              </w:pBdr>
              <w:spacing w:line="240" w:lineRule="auto"/>
              <w:contextualSpacing w:val="0"/>
              <w:rPr>
                <w:rFonts w:ascii="Noto Serif" w:eastAsia="Noto Serif" w:hAnsi="Noto Serif" w:cs="Noto Serif"/>
                <w:sz w:val="24"/>
                <w:szCs w:val="24"/>
              </w:rPr>
            </w:pPr>
            <w:r w:rsidRPr="007D42CF">
              <w:rPr>
                <w:rFonts w:ascii="Noto Serif" w:eastAsia="Noto Serif" w:hAnsi="Noto Serif" w:cs="Noto Serif"/>
                <w:sz w:val="24"/>
                <w:szCs w:val="24"/>
              </w:rPr>
              <w:t xml:space="preserve">Plan: </w:t>
            </w:r>
          </w:p>
        </w:tc>
        <w:tc>
          <w:tcPr>
            <w:tcW w:w="4680" w:type="dxa"/>
            <w:shd w:val="clear" w:color="auto" w:fill="auto"/>
            <w:tcMar>
              <w:top w:w="100" w:type="dxa"/>
              <w:left w:w="100" w:type="dxa"/>
              <w:bottom w:w="100" w:type="dxa"/>
              <w:right w:w="100" w:type="dxa"/>
            </w:tcMar>
          </w:tcPr>
          <w:p w14:paraId="1EFB4D43" w14:textId="77777777" w:rsidR="00AE1C28" w:rsidRPr="007D42CF" w:rsidRDefault="001E430E" w:rsidP="001E430E">
            <w:pPr>
              <w:contextualSpacing w:val="0"/>
              <w:rPr>
                <w:rFonts w:ascii="Noto Serif" w:eastAsia="Noto Serif" w:hAnsi="Noto Serif" w:cs="Noto Serif"/>
                <w:sz w:val="24"/>
                <w:szCs w:val="24"/>
              </w:rPr>
            </w:pPr>
            <w:r w:rsidRPr="007D42CF">
              <w:rPr>
                <w:rFonts w:ascii="Noto Serif" w:eastAsia="Noto Serif" w:hAnsi="Noto Serif" w:cs="Noto Serif"/>
                <w:sz w:val="24"/>
                <w:szCs w:val="24"/>
              </w:rPr>
              <w:t>Your p</w:t>
            </w:r>
            <w:r w:rsidR="00E846CA" w:rsidRPr="007D42CF">
              <w:rPr>
                <w:rFonts w:ascii="Noto Serif" w:eastAsia="Noto Serif" w:hAnsi="Noto Serif" w:cs="Noto Serif"/>
                <w:sz w:val="24"/>
                <w:szCs w:val="24"/>
              </w:rPr>
              <w:t xml:space="preserve">rovider will </w:t>
            </w:r>
            <w:r w:rsidRPr="007D42CF">
              <w:rPr>
                <w:rFonts w:ascii="Noto Serif" w:eastAsia="Noto Serif" w:hAnsi="Noto Serif" w:cs="Noto Serif"/>
                <w:sz w:val="24"/>
                <w:szCs w:val="24"/>
              </w:rPr>
              <w:t>attempt to call you (client)</w:t>
            </w:r>
            <w:r w:rsidR="00E846CA" w:rsidRPr="007D42CF">
              <w:rPr>
                <w:rFonts w:ascii="Noto Serif" w:eastAsia="Noto Serif" w:hAnsi="Noto Serif" w:cs="Noto Serif"/>
                <w:sz w:val="24"/>
                <w:szCs w:val="24"/>
              </w:rPr>
              <w:t xml:space="preserve"> at the above number. If unable to connect, prov</w:t>
            </w:r>
            <w:r w:rsidRPr="007D42CF">
              <w:rPr>
                <w:rFonts w:ascii="Noto Serif" w:eastAsia="Noto Serif" w:hAnsi="Noto Serif" w:cs="Noto Serif"/>
                <w:sz w:val="24"/>
                <w:szCs w:val="24"/>
              </w:rPr>
              <w:t>id</w:t>
            </w:r>
            <w:r w:rsidR="00E846CA" w:rsidRPr="007D42CF">
              <w:rPr>
                <w:rFonts w:ascii="Noto Serif" w:eastAsia="Noto Serif" w:hAnsi="Noto Serif" w:cs="Noto Serif"/>
                <w:sz w:val="24"/>
                <w:szCs w:val="24"/>
              </w:rPr>
              <w:t xml:space="preserve">er will send client </w:t>
            </w:r>
            <w:r w:rsidRPr="007D42CF">
              <w:rPr>
                <w:rFonts w:ascii="Noto Serif" w:eastAsia="Noto Serif" w:hAnsi="Noto Serif" w:cs="Noto Serif"/>
                <w:sz w:val="24"/>
                <w:szCs w:val="24"/>
              </w:rPr>
              <w:t>a secure email at [sgosmire@oakbrookwellness.com</w:t>
            </w:r>
            <w:r w:rsidR="00E846CA" w:rsidRPr="007D42CF">
              <w:rPr>
                <w:rFonts w:ascii="Noto Serif" w:eastAsia="Noto Serif" w:hAnsi="Noto Serif" w:cs="Noto Serif"/>
                <w:sz w:val="24"/>
                <w:szCs w:val="24"/>
              </w:rPr>
              <w:t xml:space="preserve">] to inform client that s/he </w:t>
            </w:r>
            <w:r w:rsidRPr="007D42CF">
              <w:rPr>
                <w:rFonts w:ascii="Noto Serif" w:eastAsia="Noto Serif" w:hAnsi="Noto Serif" w:cs="Noto Serif"/>
                <w:sz w:val="24"/>
                <w:szCs w:val="24"/>
              </w:rPr>
              <w:t>could not get through by phone.</w:t>
            </w:r>
          </w:p>
        </w:tc>
      </w:tr>
    </w:tbl>
    <w:p w14:paraId="2120DC0A" w14:textId="77777777" w:rsidR="00AE1C28" w:rsidRPr="007D42CF" w:rsidRDefault="00AE1C28">
      <w:pPr>
        <w:contextualSpacing w:val="0"/>
        <w:rPr>
          <w:rFonts w:ascii="Noto Serif" w:eastAsia="Noto Serif" w:hAnsi="Noto Serif" w:cs="Noto Serif"/>
        </w:rPr>
      </w:pPr>
    </w:p>
    <w:p w14:paraId="04A62D46" w14:textId="77777777" w:rsidR="00AE1C28" w:rsidRPr="007D42CF" w:rsidRDefault="00E846CA">
      <w:pPr>
        <w:pStyle w:val="Heading3"/>
        <w:contextualSpacing w:val="0"/>
        <w:rPr>
          <w:color w:val="auto"/>
        </w:rPr>
      </w:pPr>
      <w:bookmarkStart w:id="14" w:name="_wpqe2t61o5yk" w:colFirst="0" w:colLast="0"/>
      <w:bookmarkEnd w:id="14"/>
      <w:r w:rsidRPr="007D42CF">
        <w:rPr>
          <w:color w:val="auto"/>
        </w:rPr>
        <w:t>Identification Plan</w:t>
      </w:r>
      <w:r w:rsidR="001C0AD0" w:rsidRPr="007D42CF">
        <w:rPr>
          <w:color w:val="auto"/>
          <w:sz w:val="24"/>
          <w:szCs w:val="24"/>
        </w:rPr>
        <w:t xml:space="preserve"> following secret authentication</w:t>
      </w:r>
    </w:p>
    <w:p w14:paraId="76238E66" w14:textId="77777777" w:rsidR="00AE1C28" w:rsidRPr="007D42CF" w:rsidRDefault="00E846CA">
      <w:pPr>
        <w:contextualSpacing w:val="0"/>
        <w:rPr>
          <w:rFonts w:ascii="Noto Serif" w:eastAsia="Noto Serif" w:hAnsi="Noto Serif" w:cs="Noto Serif"/>
          <w:b/>
        </w:rPr>
      </w:pPr>
      <w:r w:rsidRPr="007D42CF">
        <w:rPr>
          <w:rFonts w:ascii="Noto Serif" w:eastAsia="Noto Serif" w:hAnsi="Noto Serif" w:cs="Noto Serif"/>
          <w:b/>
          <w:sz w:val="24"/>
          <w:szCs w:val="24"/>
          <w:u w:val="single"/>
        </w:rPr>
        <w:t>If</w:t>
      </w:r>
      <w:r w:rsidRPr="007D42CF">
        <w:rPr>
          <w:rFonts w:ascii="Noto Serif" w:eastAsia="Noto Serif" w:hAnsi="Noto Serif" w:cs="Noto Serif"/>
          <w:sz w:val="24"/>
          <w:szCs w:val="24"/>
        </w:rPr>
        <w:t xml:space="preserve"> we need to connect by a medium that doesn’t provide a satisfactory way to identify each other, we will use the method to identify each other. We may use this method if we connect textually or if our video or audio connection becomes very poor. </w:t>
      </w:r>
      <w:r w:rsidRPr="007D42CF">
        <w:rPr>
          <w:rFonts w:ascii="Noto Serif" w:eastAsia="Noto Serif" w:hAnsi="Noto Serif" w:cs="Noto Serif"/>
          <w:b/>
          <w:sz w:val="24"/>
          <w:szCs w:val="24"/>
        </w:rPr>
        <w:t>Do not inform any other people of our plan.</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E1C28" w:rsidRPr="007D42CF" w14:paraId="38BCB90A" w14:textId="77777777">
        <w:tc>
          <w:tcPr>
            <w:tcW w:w="4680" w:type="dxa"/>
            <w:shd w:val="clear" w:color="auto" w:fill="auto"/>
            <w:tcMar>
              <w:top w:w="100" w:type="dxa"/>
              <w:left w:w="100" w:type="dxa"/>
              <w:bottom w:w="100" w:type="dxa"/>
              <w:right w:w="100" w:type="dxa"/>
            </w:tcMar>
          </w:tcPr>
          <w:p w14:paraId="4D1AD331" w14:textId="77777777" w:rsidR="00AE1C28" w:rsidRPr="007D42CF" w:rsidRDefault="00E846CA">
            <w:pPr>
              <w:widowControl w:val="0"/>
              <w:pBdr>
                <w:top w:val="nil"/>
                <w:left w:val="nil"/>
                <w:bottom w:val="nil"/>
                <w:right w:val="nil"/>
                <w:between w:val="nil"/>
              </w:pBdr>
              <w:spacing w:line="240" w:lineRule="auto"/>
              <w:contextualSpacing w:val="0"/>
              <w:rPr>
                <w:rFonts w:ascii="Noto Serif" w:eastAsia="Noto Serif" w:hAnsi="Noto Serif" w:cs="Noto Serif"/>
                <w:sz w:val="24"/>
                <w:szCs w:val="24"/>
              </w:rPr>
            </w:pPr>
            <w:r w:rsidRPr="007D42CF">
              <w:rPr>
                <w:rFonts w:ascii="Noto Serif" w:eastAsia="Noto Serif" w:hAnsi="Noto Serif" w:cs="Noto Serif"/>
                <w:sz w:val="24"/>
                <w:szCs w:val="24"/>
              </w:rPr>
              <w:t>Method:</w:t>
            </w:r>
            <w:r w:rsidR="00D83A2D" w:rsidRPr="007D42CF">
              <w:rPr>
                <w:rFonts w:ascii="Noto Serif" w:eastAsia="Noto Serif" w:hAnsi="Noto Serif" w:cs="Noto Serif"/>
                <w:sz w:val="24"/>
                <w:szCs w:val="24"/>
              </w:rPr>
              <w:t xml:space="preserve">  Please indicate if the example works for you or if you would like an alternative method.  </w:t>
            </w:r>
          </w:p>
        </w:tc>
        <w:tc>
          <w:tcPr>
            <w:tcW w:w="4680" w:type="dxa"/>
            <w:shd w:val="clear" w:color="auto" w:fill="auto"/>
            <w:tcMar>
              <w:top w:w="100" w:type="dxa"/>
              <w:left w:w="100" w:type="dxa"/>
              <w:bottom w:w="100" w:type="dxa"/>
              <w:right w:w="100" w:type="dxa"/>
            </w:tcMar>
          </w:tcPr>
          <w:p w14:paraId="1924ED9F" w14:textId="77777777" w:rsidR="00AE1C28" w:rsidRPr="007D42CF" w:rsidRDefault="00E846CA">
            <w:pPr>
              <w:contextualSpacing w:val="0"/>
              <w:rPr>
                <w:rFonts w:ascii="Noto Serif" w:eastAsia="Noto Serif" w:hAnsi="Noto Serif" w:cs="Noto Serif"/>
                <w:b/>
                <w:sz w:val="24"/>
                <w:szCs w:val="24"/>
              </w:rPr>
            </w:pPr>
            <w:r w:rsidRPr="007D42CF">
              <w:rPr>
                <w:rFonts w:ascii="Noto Serif" w:eastAsia="Noto Serif" w:hAnsi="Noto Serif" w:cs="Noto Serif"/>
                <w:sz w:val="24"/>
                <w:szCs w:val="24"/>
              </w:rPr>
              <w:t>&lt;e.g. The provider will ask, “Is there anything in particular you wish to tell me before we start?” and the client will respond, “Yes, I have been somewhat sleepy lately.”&gt;</w:t>
            </w:r>
          </w:p>
        </w:tc>
      </w:tr>
    </w:tbl>
    <w:p w14:paraId="3B138B07" w14:textId="77777777" w:rsidR="00AE1C28" w:rsidRPr="007D42CF" w:rsidRDefault="00AE1C28">
      <w:pPr>
        <w:contextualSpacing w:val="0"/>
        <w:rPr>
          <w:rFonts w:ascii="Noto Serif" w:eastAsia="Noto Serif" w:hAnsi="Noto Serif" w:cs="Noto Serif"/>
          <w:b/>
        </w:rPr>
      </w:pPr>
    </w:p>
    <w:p w14:paraId="77C94F93" w14:textId="77777777" w:rsidR="00AE1C28" w:rsidRPr="007D42CF" w:rsidRDefault="00E846CA">
      <w:pPr>
        <w:pStyle w:val="Heading3"/>
        <w:contextualSpacing w:val="0"/>
        <w:rPr>
          <w:color w:val="auto"/>
        </w:rPr>
      </w:pPr>
      <w:bookmarkStart w:id="15" w:name="_l64cyk31o5lt" w:colFirst="0" w:colLast="0"/>
      <w:bookmarkEnd w:id="15"/>
      <w:r w:rsidRPr="007D42CF">
        <w:rPr>
          <w:color w:val="auto"/>
        </w:rPr>
        <w:t>Scene Safety Plan</w:t>
      </w:r>
    </w:p>
    <w:p w14:paraId="00FEB7E9"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 xml:space="preserve">Sometimes there may be other people who attempt to intrude on our session, or there may be other reasons why the space you are in is not psychologically safe for our work. </w:t>
      </w:r>
      <w:r w:rsidRPr="007D42CF">
        <w:rPr>
          <w:rFonts w:ascii="Noto Serif" w:eastAsia="Noto Serif" w:hAnsi="Noto Serif" w:cs="Noto Serif"/>
          <w:b/>
          <w:sz w:val="24"/>
          <w:szCs w:val="24"/>
        </w:rPr>
        <w:t>Do not inform any other people of our plans.</w:t>
      </w:r>
    </w:p>
    <w:p w14:paraId="46E222B6" w14:textId="77777777" w:rsidR="00AE1C28" w:rsidRPr="007D42CF" w:rsidRDefault="00AE1C28">
      <w:pPr>
        <w:contextualSpacing w:val="0"/>
        <w:rPr>
          <w:rFonts w:ascii="Noto Serif" w:eastAsia="Noto Serif" w:hAnsi="Noto Serif" w:cs="Noto Serif"/>
        </w:rPr>
      </w:pPr>
    </w:p>
    <w:p w14:paraId="6C5A7B61" w14:textId="77777777" w:rsidR="00AE1C28" w:rsidRPr="007D42CF" w:rsidRDefault="00E846CA">
      <w:pPr>
        <w:contextualSpacing w:val="0"/>
        <w:rPr>
          <w:rFonts w:ascii="Noto Serif" w:eastAsia="Noto Serif" w:hAnsi="Noto Serif" w:cs="Noto Serif"/>
          <w:b/>
          <w:sz w:val="24"/>
          <w:szCs w:val="24"/>
        </w:rPr>
      </w:pPr>
      <w:r w:rsidRPr="007D42CF">
        <w:rPr>
          <w:rFonts w:ascii="Noto Serif" w:eastAsia="Noto Serif" w:hAnsi="Noto Serif" w:cs="Noto Serif"/>
          <w:b/>
          <w:sz w:val="24"/>
          <w:szCs w:val="24"/>
        </w:rPr>
        <w:t>To help your provider know when your space is unsafe, we will do the following scene safety check at the beginning of each session:</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E1C28" w:rsidRPr="007D42CF" w14:paraId="4AED0240" w14:textId="77777777">
        <w:tc>
          <w:tcPr>
            <w:tcW w:w="4680" w:type="dxa"/>
            <w:shd w:val="clear" w:color="auto" w:fill="auto"/>
            <w:tcMar>
              <w:top w:w="100" w:type="dxa"/>
              <w:left w:w="100" w:type="dxa"/>
              <w:bottom w:w="100" w:type="dxa"/>
              <w:right w:w="100" w:type="dxa"/>
            </w:tcMar>
          </w:tcPr>
          <w:p w14:paraId="663C26AE"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lastRenderedPageBreak/>
              <w:t xml:space="preserve">Scene safety check method: </w:t>
            </w:r>
          </w:p>
        </w:tc>
        <w:tc>
          <w:tcPr>
            <w:tcW w:w="4680" w:type="dxa"/>
            <w:shd w:val="clear" w:color="auto" w:fill="auto"/>
            <w:tcMar>
              <w:top w:w="100" w:type="dxa"/>
              <w:left w:w="100" w:type="dxa"/>
              <w:bottom w:w="100" w:type="dxa"/>
              <w:right w:w="100" w:type="dxa"/>
            </w:tcMar>
          </w:tcPr>
          <w:p w14:paraId="2CA4D786"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 xml:space="preserve"> The client will be asked to pick up their computer/</w:t>
            </w:r>
            <w:r w:rsidR="00D83A2D" w:rsidRPr="007D42CF">
              <w:rPr>
                <w:rFonts w:ascii="Noto Serif" w:eastAsia="Noto Serif" w:hAnsi="Noto Serif" w:cs="Noto Serif"/>
                <w:sz w:val="24"/>
                <w:szCs w:val="24"/>
              </w:rPr>
              <w:t>camera and pan around the room.</w:t>
            </w:r>
          </w:p>
        </w:tc>
      </w:tr>
    </w:tbl>
    <w:p w14:paraId="017C3189" w14:textId="77777777" w:rsidR="00AE1C28" w:rsidRPr="007D42CF" w:rsidRDefault="00AE1C28">
      <w:pPr>
        <w:contextualSpacing w:val="0"/>
        <w:rPr>
          <w:rFonts w:ascii="Noto Serif" w:eastAsia="Noto Serif" w:hAnsi="Noto Serif" w:cs="Noto Serif"/>
          <w:sz w:val="24"/>
          <w:szCs w:val="24"/>
        </w:rPr>
      </w:pPr>
    </w:p>
    <w:p w14:paraId="148517E9" w14:textId="77777777" w:rsidR="00AE1C28" w:rsidRPr="007D42CF" w:rsidRDefault="00E846CA">
      <w:pPr>
        <w:contextualSpacing w:val="0"/>
        <w:rPr>
          <w:rFonts w:ascii="Noto Serif" w:eastAsia="Noto Serif" w:hAnsi="Noto Serif" w:cs="Noto Serif"/>
          <w:b/>
          <w:sz w:val="24"/>
          <w:szCs w:val="24"/>
        </w:rPr>
      </w:pPr>
      <w:r w:rsidRPr="007D42CF">
        <w:rPr>
          <w:rFonts w:ascii="Noto Serif" w:eastAsia="Noto Serif" w:hAnsi="Noto Serif" w:cs="Noto Serif"/>
          <w:b/>
          <w:sz w:val="24"/>
          <w:szCs w:val="24"/>
          <w:u w:val="single"/>
        </w:rPr>
        <w:t xml:space="preserve">In cases when you need it, </w:t>
      </w:r>
      <w:r w:rsidRPr="007D42CF">
        <w:rPr>
          <w:rFonts w:ascii="Noto Serif" w:eastAsia="Noto Serif" w:hAnsi="Noto Serif" w:cs="Noto Serif"/>
          <w:b/>
          <w:sz w:val="24"/>
          <w:szCs w:val="24"/>
        </w:rPr>
        <w:t>we will use the following secret call and response code to indicate that your space is not currently safe:</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E1C28" w:rsidRPr="007D42CF" w14:paraId="1E2B5352" w14:textId="77777777">
        <w:tc>
          <w:tcPr>
            <w:tcW w:w="4680" w:type="dxa"/>
            <w:shd w:val="clear" w:color="auto" w:fill="auto"/>
            <w:tcMar>
              <w:top w:w="100" w:type="dxa"/>
              <w:left w:w="100" w:type="dxa"/>
              <w:bottom w:w="100" w:type="dxa"/>
              <w:right w:w="100" w:type="dxa"/>
            </w:tcMar>
          </w:tcPr>
          <w:p w14:paraId="50F2EF88"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Scene unsafe call and response:</w:t>
            </w:r>
            <w:r w:rsidR="00D83A2D" w:rsidRPr="007D42CF">
              <w:rPr>
                <w:rFonts w:ascii="Noto Serif" w:eastAsia="Noto Serif" w:hAnsi="Noto Serif" w:cs="Noto Serif"/>
                <w:sz w:val="24"/>
                <w:szCs w:val="24"/>
              </w:rPr>
              <w:t xml:space="preserve">  Please indicate if the example works for you or if you would like an alternative method.  </w:t>
            </w:r>
          </w:p>
        </w:tc>
        <w:tc>
          <w:tcPr>
            <w:tcW w:w="4680" w:type="dxa"/>
            <w:shd w:val="clear" w:color="auto" w:fill="auto"/>
            <w:tcMar>
              <w:top w:w="100" w:type="dxa"/>
              <w:left w:w="100" w:type="dxa"/>
              <w:bottom w:w="100" w:type="dxa"/>
              <w:right w:w="100" w:type="dxa"/>
            </w:tcMar>
          </w:tcPr>
          <w:p w14:paraId="12DC07FE"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 xml:space="preserve"> The therapist always asks, “Is now a good time to proceed?” and if the scene is </w:t>
            </w:r>
            <w:r w:rsidRPr="007D42CF">
              <w:rPr>
                <w:rFonts w:ascii="Noto Serif" w:eastAsia="Noto Serif" w:hAnsi="Noto Serif" w:cs="Noto Serif"/>
                <w:sz w:val="24"/>
                <w:szCs w:val="24"/>
                <w:u w:val="single"/>
              </w:rPr>
              <w:t>unsafe</w:t>
            </w:r>
            <w:r w:rsidRPr="007D42CF">
              <w:rPr>
                <w:rFonts w:ascii="Noto Serif" w:eastAsia="Noto Serif" w:hAnsi="Noto Serif" w:cs="Noto Serif"/>
                <w:sz w:val="24"/>
                <w:szCs w:val="24"/>
              </w:rPr>
              <w:t>, the client responds, “I am</w:t>
            </w:r>
            <w:r w:rsidR="00D83A2D" w:rsidRPr="007D42CF">
              <w:rPr>
                <w:rFonts w:ascii="Noto Serif" w:eastAsia="Noto Serif" w:hAnsi="Noto Serif" w:cs="Noto Serif"/>
                <w:sz w:val="24"/>
                <w:szCs w:val="24"/>
              </w:rPr>
              <w:t xml:space="preserve"> a bit sleepy, but yes.”</w:t>
            </w:r>
          </w:p>
        </w:tc>
      </w:tr>
    </w:tbl>
    <w:p w14:paraId="7F284588" w14:textId="77777777" w:rsidR="00AE1C28" w:rsidRPr="007D42CF" w:rsidRDefault="00AE1C28">
      <w:pPr>
        <w:contextualSpacing w:val="0"/>
        <w:rPr>
          <w:rFonts w:ascii="Noto Serif" w:eastAsia="Noto Serif" w:hAnsi="Noto Serif" w:cs="Noto Serif"/>
          <w:sz w:val="24"/>
          <w:szCs w:val="24"/>
        </w:rPr>
      </w:pPr>
    </w:p>
    <w:p w14:paraId="47005CF4" w14:textId="77777777" w:rsidR="00AE1C28" w:rsidRPr="007D42CF" w:rsidRDefault="00E846CA">
      <w:pPr>
        <w:pStyle w:val="Heading3"/>
        <w:contextualSpacing w:val="0"/>
        <w:rPr>
          <w:color w:val="auto"/>
        </w:rPr>
      </w:pPr>
      <w:bookmarkStart w:id="16" w:name="_2pbh3znzsxo" w:colFirst="0" w:colLast="0"/>
      <w:bookmarkEnd w:id="16"/>
      <w:r w:rsidRPr="007D42CF">
        <w:rPr>
          <w:color w:val="auto"/>
        </w:rPr>
        <w:t>Health and Safety Emergencies</w:t>
      </w:r>
    </w:p>
    <w:p w14:paraId="73FAE1DE" w14:textId="77777777" w:rsidR="00AE1C28" w:rsidRPr="007D42CF" w:rsidRDefault="00AE1C28">
      <w:pPr>
        <w:contextualSpacing w:val="0"/>
        <w:rPr>
          <w:rFonts w:ascii="Noto Serif" w:eastAsia="Noto Serif" w:hAnsi="Noto Serif" w:cs="Noto Serif"/>
          <w:sz w:val="24"/>
          <w:szCs w:val="24"/>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42CF" w:rsidRPr="007D42CF" w14:paraId="1D5879EF" w14:textId="77777777">
        <w:tc>
          <w:tcPr>
            <w:tcW w:w="4680" w:type="dxa"/>
            <w:shd w:val="clear" w:color="auto" w:fill="auto"/>
            <w:tcMar>
              <w:top w:w="100" w:type="dxa"/>
              <w:left w:w="100" w:type="dxa"/>
              <w:bottom w:w="100" w:type="dxa"/>
              <w:right w:w="100" w:type="dxa"/>
            </w:tcMar>
          </w:tcPr>
          <w:p w14:paraId="7AB7EAB2"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If you are in a mental health crisis, you will call this number for help:</w:t>
            </w:r>
          </w:p>
        </w:tc>
        <w:tc>
          <w:tcPr>
            <w:tcW w:w="4680" w:type="dxa"/>
            <w:shd w:val="clear" w:color="auto" w:fill="auto"/>
            <w:tcMar>
              <w:top w:w="100" w:type="dxa"/>
              <w:left w:w="100" w:type="dxa"/>
              <w:bottom w:w="100" w:type="dxa"/>
              <w:right w:w="100" w:type="dxa"/>
            </w:tcMar>
          </w:tcPr>
          <w:p w14:paraId="7CB3A1FA" w14:textId="77777777" w:rsidR="00AE1C28" w:rsidRPr="007D42CF" w:rsidRDefault="00D83A2D">
            <w:pPr>
              <w:contextualSpacing w:val="0"/>
              <w:rPr>
                <w:rFonts w:ascii="Noto Serif" w:eastAsia="Noto Serif" w:hAnsi="Noto Serif" w:cs="Noto Serif"/>
                <w:sz w:val="24"/>
                <w:szCs w:val="24"/>
              </w:rPr>
            </w:pPr>
            <w:r w:rsidRPr="007D42CF">
              <w:rPr>
                <w:rFonts w:ascii="Noto Serif" w:eastAsia="Noto Serif" w:hAnsi="Noto Serif" w:cs="Noto Serif"/>
                <w:sz w:val="24"/>
                <w:szCs w:val="24"/>
              </w:rPr>
              <w:t>911</w:t>
            </w:r>
          </w:p>
          <w:p w14:paraId="1259E2A4"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sz w:val="24"/>
                <w:szCs w:val="24"/>
              </w:rPr>
            </w:pPr>
          </w:p>
        </w:tc>
      </w:tr>
      <w:tr w:rsidR="00AE1C28" w:rsidRPr="007D42CF" w14:paraId="623C1431" w14:textId="77777777">
        <w:tc>
          <w:tcPr>
            <w:tcW w:w="4680" w:type="dxa"/>
            <w:shd w:val="clear" w:color="auto" w:fill="auto"/>
            <w:tcMar>
              <w:top w:w="100" w:type="dxa"/>
              <w:left w:w="100" w:type="dxa"/>
              <w:bottom w:w="100" w:type="dxa"/>
              <w:right w:w="100" w:type="dxa"/>
            </w:tcMar>
          </w:tcPr>
          <w:p w14:paraId="664A7CD2"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 xml:space="preserve">If you have a medical or safety emergency, you will call this number for help: </w:t>
            </w:r>
          </w:p>
        </w:tc>
        <w:tc>
          <w:tcPr>
            <w:tcW w:w="4680" w:type="dxa"/>
            <w:shd w:val="clear" w:color="auto" w:fill="auto"/>
            <w:tcMar>
              <w:top w:w="100" w:type="dxa"/>
              <w:left w:w="100" w:type="dxa"/>
              <w:bottom w:w="100" w:type="dxa"/>
              <w:right w:w="100" w:type="dxa"/>
            </w:tcMar>
          </w:tcPr>
          <w:p w14:paraId="52A36A91" w14:textId="77777777" w:rsidR="00AE1C28" w:rsidRPr="007D42CF" w:rsidRDefault="00D83A2D">
            <w:pPr>
              <w:contextualSpacing w:val="0"/>
              <w:rPr>
                <w:rFonts w:ascii="Noto Serif" w:eastAsia="Noto Serif" w:hAnsi="Noto Serif" w:cs="Noto Serif"/>
                <w:sz w:val="24"/>
                <w:szCs w:val="24"/>
              </w:rPr>
            </w:pPr>
            <w:r w:rsidRPr="007D42CF">
              <w:rPr>
                <w:rFonts w:ascii="Noto Serif" w:eastAsia="Noto Serif" w:hAnsi="Noto Serif" w:cs="Noto Serif"/>
                <w:sz w:val="24"/>
                <w:szCs w:val="24"/>
              </w:rPr>
              <w:t>911</w:t>
            </w:r>
          </w:p>
        </w:tc>
      </w:tr>
    </w:tbl>
    <w:p w14:paraId="35DF7BA3" w14:textId="77777777" w:rsidR="00AE1C28" w:rsidRPr="007D42CF" w:rsidRDefault="00AE1C28">
      <w:pPr>
        <w:contextualSpacing w:val="0"/>
        <w:rPr>
          <w:rFonts w:ascii="Noto Serif" w:eastAsia="Noto Serif" w:hAnsi="Noto Serif" w:cs="Noto Serif"/>
          <w:sz w:val="24"/>
          <w:szCs w:val="24"/>
        </w:rPr>
      </w:pPr>
    </w:p>
    <w:p w14:paraId="5996DBE7" w14:textId="77777777" w:rsidR="009B2A7A" w:rsidRPr="007D42CF" w:rsidRDefault="009B2A7A">
      <w:pPr>
        <w:contextualSpacing w:val="0"/>
        <w:rPr>
          <w:rFonts w:ascii="Noto Serif" w:eastAsia="Noto Serif" w:hAnsi="Noto Serif" w:cs="Noto Serif"/>
          <w:sz w:val="24"/>
          <w:szCs w:val="24"/>
        </w:rPr>
      </w:pPr>
      <w:r w:rsidRPr="007D42CF">
        <w:rPr>
          <w:rFonts w:ascii="Noto Serif" w:eastAsia="Noto Serif" w:hAnsi="Noto Serif" w:cs="Noto Serif"/>
          <w:sz w:val="24"/>
          <w:szCs w:val="24"/>
        </w:rPr>
        <w:t>Your address _____________________________</w:t>
      </w:r>
    </w:p>
    <w:p w14:paraId="0B7F15E5" w14:textId="77777777" w:rsidR="00AE1C28" w:rsidRPr="007D42CF" w:rsidRDefault="001C0AD0">
      <w:pPr>
        <w:contextualSpacing w:val="0"/>
        <w:rPr>
          <w:rFonts w:ascii="Noto Serif" w:eastAsia="Noto Serif" w:hAnsi="Noto Serif" w:cs="Noto Serif"/>
          <w:sz w:val="24"/>
          <w:szCs w:val="24"/>
        </w:rPr>
      </w:pPr>
      <w:r w:rsidRPr="007D42CF">
        <w:rPr>
          <w:rFonts w:ascii="Noto Serif" w:eastAsia="Noto Serif" w:hAnsi="Noto Serif" w:cs="Noto Serif"/>
          <w:sz w:val="24"/>
          <w:szCs w:val="24"/>
        </w:rPr>
        <w:t xml:space="preserve">Local </w:t>
      </w:r>
      <w:r w:rsidR="009B2A7A" w:rsidRPr="007D42CF">
        <w:rPr>
          <w:rFonts w:ascii="Noto Serif" w:eastAsia="Noto Serif" w:hAnsi="Noto Serif" w:cs="Noto Serif"/>
          <w:sz w:val="24"/>
          <w:szCs w:val="24"/>
        </w:rPr>
        <w:t xml:space="preserve">police department number (instead of </w:t>
      </w:r>
      <w:r w:rsidRPr="007D42CF">
        <w:rPr>
          <w:rFonts w:ascii="Noto Serif" w:eastAsia="Noto Serif" w:hAnsi="Noto Serif" w:cs="Noto Serif"/>
          <w:sz w:val="24"/>
          <w:szCs w:val="24"/>
        </w:rPr>
        <w:t>911</w:t>
      </w:r>
      <w:r w:rsidR="009B2A7A" w:rsidRPr="007D42CF">
        <w:rPr>
          <w:rFonts w:ascii="Noto Serif" w:eastAsia="Noto Serif" w:hAnsi="Noto Serif" w:cs="Noto Serif"/>
          <w:sz w:val="24"/>
          <w:szCs w:val="24"/>
        </w:rPr>
        <w:t>)</w:t>
      </w:r>
      <w:r w:rsidRPr="007D42CF">
        <w:rPr>
          <w:rFonts w:ascii="Noto Serif" w:eastAsia="Noto Serif" w:hAnsi="Noto Serif" w:cs="Noto Serif"/>
          <w:sz w:val="24"/>
          <w:szCs w:val="24"/>
        </w:rPr>
        <w:t xml:space="preserve"> </w:t>
      </w:r>
      <w:r w:rsidRPr="009B186A">
        <w:rPr>
          <w:rFonts w:ascii="Noto Serif" w:eastAsia="Noto Serif" w:hAnsi="Noto Serif" w:cs="Noto Serif"/>
          <w:b/>
          <w:sz w:val="24"/>
          <w:szCs w:val="24"/>
        </w:rPr>
        <w:t>for example</w:t>
      </w:r>
      <w:r w:rsidRPr="007D42CF">
        <w:rPr>
          <w:rFonts w:ascii="Noto Serif" w:eastAsia="Noto Serif" w:hAnsi="Noto Serif" w:cs="Noto Serif"/>
          <w:sz w:val="24"/>
          <w:szCs w:val="24"/>
        </w:rPr>
        <w:t xml:space="preserve">:  If you live in Elmhurst, 911 = </w:t>
      </w:r>
      <w:proofErr w:type="gramStart"/>
      <w:r w:rsidR="009B2A7A" w:rsidRPr="007D42CF">
        <w:rPr>
          <w:rFonts w:ascii="Noto Serif" w:eastAsia="Noto Serif" w:hAnsi="Noto Serif" w:cs="Noto Serif"/>
          <w:sz w:val="24"/>
          <w:szCs w:val="24"/>
        </w:rPr>
        <w:t xml:space="preserve">630.530.3050  </w:t>
      </w:r>
      <w:r w:rsidRPr="007D42CF">
        <w:rPr>
          <w:rFonts w:ascii="Noto Serif" w:eastAsia="Noto Serif" w:hAnsi="Noto Serif" w:cs="Noto Serif"/>
          <w:sz w:val="24"/>
          <w:szCs w:val="24"/>
        </w:rPr>
        <w:t>_</w:t>
      </w:r>
      <w:proofErr w:type="gramEnd"/>
      <w:r w:rsidRPr="007D42CF">
        <w:rPr>
          <w:rFonts w:ascii="Noto Serif" w:eastAsia="Noto Serif" w:hAnsi="Noto Serif" w:cs="Noto Serif"/>
          <w:sz w:val="24"/>
          <w:szCs w:val="24"/>
        </w:rPr>
        <w:t>______________________________________________</w:t>
      </w:r>
    </w:p>
    <w:p w14:paraId="2577B807" w14:textId="77777777" w:rsidR="001C0AD0" w:rsidRPr="007D42CF" w:rsidRDefault="001C0AD0">
      <w:pPr>
        <w:contextualSpacing w:val="0"/>
        <w:rPr>
          <w:rFonts w:ascii="Noto Serif" w:eastAsia="Noto Serif" w:hAnsi="Noto Serif" w:cs="Noto Serif"/>
          <w:sz w:val="24"/>
          <w:szCs w:val="24"/>
        </w:rPr>
      </w:pPr>
    </w:p>
    <w:p w14:paraId="7CDBA31B" w14:textId="77777777" w:rsidR="00AE1C28" w:rsidRPr="007D42CF" w:rsidRDefault="00E846CA">
      <w:pPr>
        <w:contextualSpacing w:val="0"/>
        <w:rPr>
          <w:rFonts w:ascii="Noto Serif" w:eastAsia="Noto Serif" w:hAnsi="Noto Serif" w:cs="Noto Serif"/>
          <w:b/>
          <w:sz w:val="24"/>
          <w:szCs w:val="24"/>
        </w:rPr>
      </w:pPr>
      <w:r w:rsidRPr="007D42CF">
        <w:rPr>
          <w:rFonts w:ascii="Noto Serif" w:eastAsia="Noto Serif" w:hAnsi="Noto Serif" w:cs="Noto Serif"/>
          <w:b/>
          <w:sz w:val="24"/>
          <w:szCs w:val="24"/>
        </w:rPr>
        <w:t>Which hospital will you go to when a medical issue arises?</w:t>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42CF" w:rsidRPr="007D42CF" w14:paraId="457E3973" w14:textId="77777777">
        <w:tc>
          <w:tcPr>
            <w:tcW w:w="4680" w:type="dxa"/>
            <w:shd w:val="clear" w:color="auto" w:fill="auto"/>
            <w:tcMar>
              <w:top w:w="100" w:type="dxa"/>
              <w:left w:w="100" w:type="dxa"/>
              <w:bottom w:w="100" w:type="dxa"/>
              <w:right w:w="100" w:type="dxa"/>
            </w:tcMar>
          </w:tcPr>
          <w:p w14:paraId="110D365A"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Main hospital name:</w:t>
            </w:r>
          </w:p>
        </w:tc>
        <w:tc>
          <w:tcPr>
            <w:tcW w:w="4680" w:type="dxa"/>
            <w:shd w:val="clear" w:color="auto" w:fill="auto"/>
            <w:tcMar>
              <w:top w:w="100" w:type="dxa"/>
              <w:left w:w="100" w:type="dxa"/>
              <w:bottom w:w="100" w:type="dxa"/>
              <w:right w:w="100" w:type="dxa"/>
            </w:tcMar>
          </w:tcPr>
          <w:p w14:paraId="42EAD1C5"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b/>
                <w:sz w:val="24"/>
                <w:szCs w:val="24"/>
              </w:rPr>
            </w:pPr>
          </w:p>
        </w:tc>
      </w:tr>
      <w:tr w:rsidR="007D42CF" w:rsidRPr="007D42CF" w14:paraId="74A2B654" w14:textId="77777777">
        <w:tc>
          <w:tcPr>
            <w:tcW w:w="4680" w:type="dxa"/>
            <w:shd w:val="clear" w:color="auto" w:fill="auto"/>
            <w:tcMar>
              <w:top w:w="100" w:type="dxa"/>
              <w:left w:w="100" w:type="dxa"/>
              <w:bottom w:w="100" w:type="dxa"/>
              <w:right w:w="100" w:type="dxa"/>
            </w:tcMar>
          </w:tcPr>
          <w:p w14:paraId="166EC42D" w14:textId="77777777" w:rsidR="00AE1C28" w:rsidRPr="007D42CF" w:rsidRDefault="00E846CA">
            <w:pPr>
              <w:contextualSpacing w:val="0"/>
              <w:rPr>
                <w:rFonts w:ascii="Noto Serif" w:eastAsia="Noto Serif" w:hAnsi="Noto Serif" w:cs="Noto Serif"/>
                <w:b/>
                <w:sz w:val="24"/>
                <w:szCs w:val="24"/>
              </w:rPr>
            </w:pPr>
            <w:r w:rsidRPr="007D42CF">
              <w:rPr>
                <w:rFonts w:ascii="Noto Serif" w:eastAsia="Noto Serif" w:hAnsi="Noto Serif" w:cs="Noto Serif"/>
                <w:sz w:val="24"/>
                <w:szCs w:val="24"/>
              </w:rPr>
              <w:t xml:space="preserve">Main hospital phone #: </w:t>
            </w:r>
          </w:p>
        </w:tc>
        <w:tc>
          <w:tcPr>
            <w:tcW w:w="4680" w:type="dxa"/>
            <w:shd w:val="clear" w:color="auto" w:fill="auto"/>
            <w:tcMar>
              <w:top w:w="100" w:type="dxa"/>
              <w:left w:w="100" w:type="dxa"/>
              <w:bottom w:w="100" w:type="dxa"/>
              <w:right w:w="100" w:type="dxa"/>
            </w:tcMar>
          </w:tcPr>
          <w:p w14:paraId="3268AC32"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b/>
                <w:sz w:val="24"/>
                <w:szCs w:val="24"/>
              </w:rPr>
            </w:pPr>
          </w:p>
        </w:tc>
      </w:tr>
      <w:tr w:rsidR="00AE1C28" w:rsidRPr="007D42CF" w14:paraId="10EF782D" w14:textId="77777777">
        <w:tc>
          <w:tcPr>
            <w:tcW w:w="4680" w:type="dxa"/>
            <w:shd w:val="clear" w:color="auto" w:fill="auto"/>
            <w:tcMar>
              <w:top w:w="100" w:type="dxa"/>
              <w:left w:w="100" w:type="dxa"/>
              <w:bottom w:w="100" w:type="dxa"/>
              <w:right w:w="100" w:type="dxa"/>
            </w:tcMar>
          </w:tcPr>
          <w:p w14:paraId="2139AF40"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Main hospital address:</w:t>
            </w:r>
          </w:p>
          <w:p w14:paraId="3D04F21B"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b/>
                <w:sz w:val="24"/>
                <w:szCs w:val="24"/>
              </w:rPr>
            </w:pPr>
          </w:p>
        </w:tc>
        <w:tc>
          <w:tcPr>
            <w:tcW w:w="4680" w:type="dxa"/>
            <w:shd w:val="clear" w:color="auto" w:fill="auto"/>
            <w:tcMar>
              <w:top w:w="100" w:type="dxa"/>
              <w:left w:w="100" w:type="dxa"/>
              <w:bottom w:w="100" w:type="dxa"/>
              <w:right w:w="100" w:type="dxa"/>
            </w:tcMar>
          </w:tcPr>
          <w:p w14:paraId="01C8D712"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b/>
                <w:sz w:val="24"/>
                <w:szCs w:val="24"/>
              </w:rPr>
            </w:pPr>
          </w:p>
        </w:tc>
      </w:tr>
    </w:tbl>
    <w:p w14:paraId="4DE21763" w14:textId="77777777" w:rsidR="00AE1C28" w:rsidRPr="007D42CF" w:rsidRDefault="00AE1C28">
      <w:pPr>
        <w:contextualSpacing w:val="0"/>
        <w:rPr>
          <w:rFonts w:ascii="Noto Serif" w:eastAsia="Noto Serif" w:hAnsi="Noto Serif" w:cs="Noto Serif"/>
          <w:sz w:val="24"/>
          <w:szCs w:val="24"/>
        </w:rPr>
      </w:pPr>
    </w:p>
    <w:p w14:paraId="75A814EB" w14:textId="77777777" w:rsidR="00AE1C28" w:rsidRPr="007D42CF" w:rsidRDefault="00E846CA">
      <w:pPr>
        <w:contextualSpacing w:val="0"/>
        <w:rPr>
          <w:rFonts w:ascii="Noto Serif" w:eastAsia="Noto Serif" w:hAnsi="Noto Serif" w:cs="Noto Serif"/>
          <w:b/>
          <w:sz w:val="24"/>
          <w:szCs w:val="24"/>
        </w:rPr>
      </w:pPr>
      <w:r w:rsidRPr="007D42CF">
        <w:rPr>
          <w:rFonts w:ascii="Noto Serif" w:eastAsia="Noto Serif" w:hAnsi="Noto Serif" w:cs="Noto Serif"/>
          <w:b/>
          <w:sz w:val="24"/>
          <w:szCs w:val="24"/>
        </w:rPr>
        <w:t>If there is a second hospital you may go to, please list it here:</w:t>
      </w: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42CF" w:rsidRPr="007D42CF" w14:paraId="37F18CDE" w14:textId="77777777">
        <w:tc>
          <w:tcPr>
            <w:tcW w:w="4680" w:type="dxa"/>
            <w:shd w:val="clear" w:color="auto" w:fill="auto"/>
            <w:tcMar>
              <w:top w:w="100" w:type="dxa"/>
              <w:left w:w="100" w:type="dxa"/>
              <w:bottom w:w="100" w:type="dxa"/>
              <w:right w:w="100" w:type="dxa"/>
            </w:tcMar>
          </w:tcPr>
          <w:p w14:paraId="4C37610C"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Secondary hospital name:</w:t>
            </w:r>
          </w:p>
        </w:tc>
        <w:tc>
          <w:tcPr>
            <w:tcW w:w="4680" w:type="dxa"/>
            <w:shd w:val="clear" w:color="auto" w:fill="auto"/>
            <w:tcMar>
              <w:top w:w="100" w:type="dxa"/>
              <w:left w:w="100" w:type="dxa"/>
              <w:bottom w:w="100" w:type="dxa"/>
              <w:right w:w="100" w:type="dxa"/>
            </w:tcMar>
          </w:tcPr>
          <w:p w14:paraId="0392F5EF"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b/>
                <w:sz w:val="24"/>
                <w:szCs w:val="24"/>
              </w:rPr>
            </w:pPr>
          </w:p>
        </w:tc>
      </w:tr>
      <w:tr w:rsidR="007D42CF" w:rsidRPr="007D42CF" w14:paraId="659BA295" w14:textId="77777777">
        <w:tc>
          <w:tcPr>
            <w:tcW w:w="4680" w:type="dxa"/>
            <w:shd w:val="clear" w:color="auto" w:fill="auto"/>
            <w:tcMar>
              <w:top w:w="100" w:type="dxa"/>
              <w:left w:w="100" w:type="dxa"/>
              <w:bottom w:w="100" w:type="dxa"/>
              <w:right w:w="100" w:type="dxa"/>
            </w:tcMar>
          </w:tcPr>
          <w:p w14:paraId="48B5FF95" w14:textId="77777777" w:rsidR="00AE1C28" w:rsidRPr="007D42CF" w:rsidRDefault="00E846CA">
            <w:pPr>
              <w:contextualSpacing w:val="0"/>
              <w:rPr>
                <w:rFonts w:ascii="Noto Serif" w:eastAsia="Noto Serif" w:hAnsi="Noto Serif" w:cs="Noto Serif"/>
                <w:b/>
                <w:sz w:val="24"/>
                <w:szCs w:val="24"/>
              </w:rPr>
            </w:pPr>
            <w:r w:rsidRPr="007D42CF">
              <w:rPr>
                <w:rFonts w:ascii="Noto Serif" w:eastAsia="Noto Serif" w:hAnsi="Noto Serif" w:cs="Noto Serif"/>
                <w:sz w:val="24"/>
                <w:szCs w:val="24"/>
              </w:rPr>
              <w:t xml:space="preserve">Secondary hospital phone #: </w:t>
            </w:r>
          </w:p>
        </w:tc>
        <w:tc>
          <w:tcPr>
            <w:tcW w:w="4680" w:type="dxa"/>
            <w:shd w:val="clear" w:color="auto" w:fill="auto"/>
            <w:tcMar>
              <w:top w:w="100" w:type="dxa"/>
              <w:left w:w="100" w:type="dxa"/>
              <w:bottom w:w="100" w:type="dxa"/>
              <w:right w:w="100" w:type="dxa"/>
            </w:tcMar>
          </w:tcPr>
          <w:p w14:paraId="091AD64B"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b/>
                <w:sz w:val="24"/>
                <w:szCs w:val="24"/>
              </w:rPr>
            </w:pPr>
          </w:p>
        </w:tc>
      </w:tr>
      <w:tr w:rsidR="00AE1C28" w:rsidRPr="007D42CF" w14:paraId="119218F5" w14:textId="77777777">
        <w:tc>
          <w:tcPr>
            <w:tcW w:w="4680" w:type="dxa"/>
            <w:shd w:val="clear" w:color="auto" w:fill="auto"/>
            <w:tcMar>
              <w:top w:w="100" w:type="dxa"/>
              <w:left w:w="100" w:type="dxa"/>
              <w:bottom w:w="100" w:type="dxa"/>
              <w:right w:w="100" w:type="dxa"/>
            </w:tcMar>
          </w:tcPr>
          <w:p w14:paraId="1EB915D5" w14:textId="77777777"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Secondary hospital address:</w:t>
            </w:r>
          </w:p>
          <w:p w14:paraId="3D874ED7"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b/>
                <w:sz w:val="24"/>
                <w:szCs w:val="24"/>
              </w:rPr>
            </w:pPr>
          </w:p>
        </w:tc>
        <w:tc>
          <w:tcPr>
            <w:tcW w:w="4680" w:type="dxa"/>
            <w:shd w:val="clear" w:color="auto" w:fill="auto"/>
            <w:tcMar>
              <w:top w:w="100" w:type="dxa"/>
              <w:left w:w="100" w:type="dxa"/>
              <w:bottom w:w="100" w:type="dxa"/>
              <w:right w:w="100" w:type="dxa"/>
            </w:tcMar>
          </w:tcPr>
          <w:p w14:paraId="0AE86C5E"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b/>
                <w:sz w:val="24"/>
                <w:szCs w:val="24"/>
              </w:rPr>
            </w:pPr>
          </w:p>
        </w:tc>
      </w:tr>
    </w:tbl>
    <w:p w14:paraId="2CD43B6F" w14:textId="77777777" w:rsidR="00AE1C28" w:rsidRPr="007D42CF" w:rsidRDefault="00AE1C28">
      <w:pPr>
        <w:contextualSpacing w:val="0"/>
        <w:rPr>
          <w:rFonts w:ascii="Noto Serif" w:eastAsia="Noto Serif" w:hAnsi="Noto Serif" w:cs="Noto Serif"/>
          <w:b/>
          <w:sz w:val="24"/>
          <w:szCs w:val="24"/>
        </w:rPr>
      </w:pPr>
    </w:p>
    <w:p w14:paraId="64F8CF4A" w14:textId="77777777" w:rsidR="00AE1C28" w:rsidRPr="007D42CF" w:rsidRDefault="00E846CA">
      <w:pPr>
        <w:contextualSpacing w:val="0"/>
        <w:rPr>
          <w:rFonts w:ascii="Noto Serif" w:eastAsia="Noto Serif" w:hAnsi="Noto Serif" w:cs="Noto Serif"/>
          <w:b/>
          <w:sz w:val="24"/>
          <w:szCs w:val="24"/>
        </w:rPr>
      </w:pPr>
      <w:r w:rsidRPr="007D42CF">
        <w:rPr>
          <w:rFonts w:ascii="Noto Serif" w:eastAsia="Noto Serif" w:hAnsi="Noto Serif" w:cs="Noto Serif"/>
          <w:b/>
          <w:sz w:val="24"/>
          <w:szCs w:val="24"/>
        </w:rPr>
        <w:t>If you need to contact your provider during an emergency, the following method is the way to do it. Remember that your provider may not be able to provide any emergency or crisis assistance:</w:t>
      </w: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D42CF" w:rsidRPr="007D42CF" w14:paraId="7EB13CB8" w14:textId="77777777">
        <w:tc>
          <w:tcPr>
            <w:tcW w:w="4680" w:type="dxa"/>
            <w:shd w:val="clear" w:color="auto" w:fill="auto"/>
            <w:tcMar>
              <w:top w:w="100" w:type="dxa"/>
              <w:left w:w="100" w:type="dxa"/>
              <w:bottom w:w="100" w:type="dxa"/>
              <w:right w:w="100" w:type="dxa"/>
            </w:tcMar>
          </w:tcPr>
          <w:p w14:paraId="38352C0A" w14:textId="77777777" w:rsidR="00AE1C28" w:rsidRPr="007D42CF" w:rsidRDefault="00E846CA">
            <w:pPr>
              <w:contextualSpacing w:val="0"/>
              <w:rPr>
                <w:rFonts w:ascii="Noto Serif" w:eastAsia="Noto Serif" w:hAnsi="Noto Serif" w:cs="Noto Serif"/>
                <w:b/>
                <w:sz w:val="24"/>
                <w:szCs w:val="24"/>
              </w:rPr>
            </w:pPr>
            <w:r w:rsidRPr="007D42CF">
              <w:rPr>
                <w:rFonts w:ascii="Noto Serif" w:eastAsia="Noto Serif" w:hAnsi="Noto Serif" w:cs="Noto Serif"/>
                <w:sz w:val="24"/>
                <w:szCs w:val="24"/>
              </w:rPr>
              <w:t>Provider emergency contact method:</w:t>
            </w:r>
          </w:p>
        </w:tc>
        <w:tc>
          <w:tcPr>
            <w:tcW w:w="4680" w:type="dxa"/>
            <w:shd w:val="clear" w:color="auto" w:fill="auto"/>
            <w:tcMar>
              <w:top w:w="100" w:type="dxa"/>
              <w:left w:w="100" w:type="dxa"/>
              <w:bottom w:w="100" w:type="dxa"/>
              <w:right w:w="100" w:type="dxa"/>
            </w:tcMar>
          </w:tcPr>
          <w:p w14:paraId="6AE75385" w14:textId="6807B41F" w:rsidR="00AE1C28" w:rsidRPr="007D42CF" w:rsidRDefault="00E846CA">
            <w:pPr>
              <w:contextualSpacing w:val="0"/>
              <w:rPr>
                <w:rFonts w:ascii="Noto Serif" w:eastAsia="Noto Serif" w:hAnsi="Noto Serif" w:cs="Noto Serif"/>
                <w:sz w:val="24"/>
                <w:szCs w:val="24"/>
              </w:rPr>
            </w:pPr>
            <w:r w:rsidRPr="007D42CF">
              <w:rPr>
                <w:rFonts w:ascii="Noto Serif" w:eastAsia="Noto Serif" w:hAnsi="Noto Serif" w:cs="Noto Serif"/>
                <w:sz w:val="24"/>
                <w:szCs w:val="24"/>
              </w:rPr>
              <w:t xml:space="preserve"> </w:t>
            </w:r>
            <w:r w:rsidR="00D83A2D" w:rsidRPr="007D42CF">
              <w:rPr>
                <w:rFonts w:ascii="Noto Serif" w:eastAsia="Noto Serif" w:hAnsi="Noto Serif" w:cs="Noto Serif"/>
                <w:sz w:val="24"/>
                <w:szCs w:val="24"/>
              </w:rPr>
              <w:t>Telephone #</w:t>
            </w:r>
            <w:r w:rsidR="009B186A">
              <w:rPr>
                <w:rFonts w:ascii="Noto Serif" w:eastAsia="Noto Serif" w:hAnsi="Noto Serif" w:cs="Noto Serif"/>
                <w:sz w:val="24"/>
                <w:szCs w:val="24"/>
              </w:rPr>
              <w:t xml:space="preserve"> </w:t>
            </w:r>
          </w:p>
          <w:p w14:paraId="477C17FE" w14:textId="77777777" w:rsidR="00AE1C28" w:rsidRPr="007D42CF" w:rsidRDefault="00AE1C28">
            <w:pPr>
              <w:widowControl w:val="0"/>
              <w:pBdr>
                <w:top w:val="nil"/>
                <w:left w:val="nil"/>
                <w:bottom w:val="nil"/>
                <w:right w:val="nil"/>
                <w:between w:val="nil"/>
              </w:pBdr>
              <w:spacing w:line="240" w:lineRule="auto"/>
              <w:contextualSpacing w:val="0"/>
              <w:rPr>
                <w:rFonts w:ascii="Noto Serif" w:eastAsia="Noto Serif" w:hAnsi="Noto Serif" w:cs="Noto Serif"/>
                <w:b/>
                <w:sz w:val="24"/>
                <w:szCs w:val="24"/>
              </w:rPr>
            </w:pPr>
          </w:p>
        </w:tc>
      </w:tr>
    </w:tbl>
    <w:p w14:paraId="707349B0" w14:textId="77777777" w:rsidR="00AE1C28" w:rsidRPr="007D42CF" w:rsidRDefault="00AE1C28" w:rsidP="009B2A7A">
      <w:pPr>
        <w:contextualSpacing w:val="0"/>
        <w:rPr>
          <w:rFonts w:ascii="Noto Serif" w:eastAsia="Noto Serif" w:hAnsi="Noto Serif" w:cs="Noto Serif"/>
          <w:sz w:val="24"/>
          <w:szCs w:val="24"/>
        </w:rPr>
      </w:pPr>
    </w:p>
    <w:sectPr w:rsidR="00AE1C28" w:rsidRPr="007D42CF">
      <w:footerReference w:type="default" r:id="rId7"/>
      <w:headerReference w:type="first" r:id="rId8"/>
      <w:foot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C397F" w14:textId="77777777" w:rsidR="00DB7352" w:rsidRDefault="00DB7352">
      <w:pPr>
        <w:spacing w:line="240" w:lineRule="auto"/>
      </w:pPr>
      <w:r>
        <w:separator/>
      </w:r>
    </w:p>
  </w:endnote>
  <w:endnote w:type="continuationSeparator" w:id="0">
    <w:p w14:paraId="5AD70491" w14:textId="77777777" w:rsidR="00DB7352" w:rsidRDefault="00DB7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Times New Roman"/>
    <w:charset w:val="00"/>
    <w:family w:val="auto"/>
    <w:pitch w:val="default"/>
  </w:font>
  <w:font w:name="Montserr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12C2" w14:textId="77777777" w:rsidR="00AE1C28" w:rsidRDefault="00AE1C28">
    <w:pPr>
      <w:contextualSpacing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24F8" w14:textId="77777777" w:rsidR="00AE1C28" w:rsidRDefault="00AE1C28">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4F586" w14:textId="77777777" w:rsidR="00DB7352" w:rsidRDefault="00DB7352">
      <w:pPr>
        <w:spacing w:line="240" w:lineRule="auto"/>
      </w:pPr>
      <w:r>
        <w:separator/>
      </w:r>
    </w:p>
  </w:footnote>
  <w:footnote w:type="continuationSeparator" w:id="0">
    <w:p w14:paraId="4BCF791F" w14:textId="77777777" w:rsidR="00DB7352" w:rsidRDefault="00DB73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865E" w14:textId="77777777" w:rsidR="00AE1C28" w:rsidRDefault="00AE1C28">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6AF4"/>
    <w:multiLevelType w:val="multilevel"/>
    <w:tmpl w:val="D6480C0E"/>
    <w:lvl w:ilvl="0">
      <w:start w:val="1"/>
      <w:numFmt w:val="bullet"/>
      <w:lvlText w:val="➢"/>
      <w:lvlJc w:val="left"/>
      <w:pPr>
        <w:ind w:left="720" w:hanging="360"/>
      </w:pPr>
      <w:rPr>
        <w:color w:val="8FC8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F41037"/>
    <w:multiLevelType w:val="multilevel"/>
    <w:tmpl w:val="87FEA31E"/>
    <w:lvl w:ilvl="0">
      <w:start w:val="1"/>
      <w:numFmt w:val="bullet"/>
      <w:lvlText w:val="❖"/>
      <w:lvlJc w:val="left"/>
      <w:pPr>
        <w:ind w:left="720" w:hanging="360"/>
      </w:pPr>
      <w:rPr>
        <w:color w:val="8FC8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28"/>
    <w:rsid w:val="0009154C"/>
    <w:rsid w:val="001C0AD0"/>
    <w:rsid w:val="001E430E"/>
    <w:rsid w:val="00396EBC"/>
    <w:rsid w:val="005A4E5D"/>
    <w:rsid w:val="005B3548"/>
    <w:rsid w:val="007D42CF"/>
    <w:rsid w:val="009B186A"/>
    <w:rsid w:val="009B2A7A"/>
    <w:rsid w:val="00AE1C28"/>
    <w:rsid w:val="00D83A2D"/>
    <w:rsid w:val="00DB7352"/>
    <w:rsid w:val="00DF30BD"/>
    <w:rsid w:val="00E846CA"/>
    <w:rsid w:val="00EB026E"/>
    <w:rsid w:val="00EF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3B82"/>
  <w15:docId w15:val="{C51BBF81-C959-4F73-84A8-C0E51DA8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rFonts w:ascii="Noto Serif" w:eastAsia="Noto Serif" w:hAnsi="Noto Serif" w:cs="Noto Serif"/>
      <w:b/>
      <w:color w:val="8FC855"/>
      <w:sz w:val="32"/>
      <w:szCs w:val="32"/>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E430E"/>
    <w:pPr>
      <w:tabs>
        <w:tab w:val="center" w:pos="4680"/>
        <w:tab w:val="right" w:pos="9360"/>
      </w:tabs>
      <w:spacing w:line="240" w:lineRule="auto"/>
    </w:pPr>
  </w:style>
  <w:style w:type="character" w:customStyle="1" w:styleId="HeaderChar">
    <w:name w:val="Header Char"/>
    <w:basedOn w:val="DefaultParagraphFont"/>
    <w:link w:val="Header"/>
    <w:uiPriority w:val="99"/>
    <w:rsid w:val="001E430E"/>
  </w:style>
  <w:style w:type="paragraph" w:styleId="Footer">
    <w:name w:val="footer"/>
    <w:basedOn w:val="Normal"/>
    <w:link w:val="FooterChar"/>
    <w:uiPriority w:val="99"/>
    <w:unhideWhenUsed/>
    <w:rsid w:val="001E430E"/>
    <w:pPr>
      <w:tabs>
        <w:tab w:val="center" w:pos="4680"/>
        <w:tab w:val="right" w:pos="9360"/>
      </w:tabs>
      <w:spacing w:line="240" w:lineRule="auto"/>
    </w:pPr>
  </w:style>
  <w:style w:type="character" w:customStyle="1" w:styleId="FooterChar">
    <w:name w:val="Footer Char"/>
    <w:basedOn w:val="DefaultParagraphFont"/>
    <w:link w:val="Footer"/>
    <w:uiPriority w:val="99"/>
    <w:rsid w:val="001E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Gosmire</dc:creator>
  <cp:lastModifiedBy>Sabrina Gosmire</cp:lastModifiedBy>
  <cp:revision>2</cp:revision>
  <dcterms:created xsi:type="dcterms:W3CDTF">2020-03-16T11:23:00Z</dcterms:created>
  <dcterms:modified xsi:type="dcterms:W3CDTF">2020-03-16T11:23:00Z</dcterms:modified>
</cp:coreProperties>
</file>